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f7941d"/>
          <w:sz w:val="96"/>
          <w:szCs w:val="96"/>
          <w:u w:val="none"/>
          <w:shd w:fill="auto" w:val="clear"/>
          <w:vertAlign w:val="baseline"/>
        </w:rPr>
      </w:pPr>
      <w:r w:rsidDel="00000000" w:rsidR="00000000" w:rsidRPr="00000000">
        <w:rPr>
          <w:rFonts w:ascii="Arial" w:cs="Arial" w:eastAsia="Arial" w:hAnsi="Arial"/>
          <w:b w:val="1"/>
          <w:i w:val="0"/>
          <w:smallCaps w:val="0"/>
          <w:strike w:val="0"/>
          <w:color w:val="f7941d"/>
          <w:sz w:val="96"/>
          <w:szCs w:val="96"/>
          <w:u w:val="none"/>
          <w:shd w:fill="auto" w:val="clear"/>
          <w:vertAlign w:val="baseline"/>
          <w:rtl w:val="0"/>
        </w:rPr>
        <w:t xml:space="preserve">Matematyka </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7c4911"/>
          <w:sz w:val="96"/>
          <w:szCs w:val="96"/>
          <w:u w:val="none"/>
          <w:shd w:fill="auto" w:val="clear"/>
          <w:vertAlign w:val="baseline"/>
        </w:rPr>
      </w:pPr>
      <w:r w:rsidDel="00000000" w:rsidR="00000000" w:rsidRPr="00000000">
        <w:rPr>
          <w:rFonts w:ascii="Arial" w:cs="Arial" w:eastAsia="Arial" w:hAnsi="Arial"/>
          <w:b w:val="1"/>
          <w:i w:val="0"/>
          <w:smallCaps w:val="0"/>
          <w:strike w:val="0"/>
          <w:color w:val="7c4911"/>
          <w:sz w:val="96"/>
          <w:szCs w:val="96"/>
          <w:u w:val="none"/>
          <w:shd w:fill="auto" w:val="clear"/>
          <w:vertAlign w:val="baseline"/>
          <w:rtl w:val="0"/>
        </w:rPr>
        <w:t xml:space="preserve">z kluczem</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Szkoła podstawowa, klasy 4‒8</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Przedmiotowe zasady oceniania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Klasa 4</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92d050"/>
          <w:sz w:val="32"/>
          <w:szCs w:val="32"/>
          <w:u w:val="none"/>
          <w:shd w:fill="auto" w:val="clear"/>
          <w:vertAlign w:val="baseline"/>
        </w:rPr>
      </w:pPr>
      <w:r w:rsidDel="00000000" w:rsidR="00000000" w:rsidRPr="00000000">
        <w:rPr>
          <w:rFonts w:ascii="Cambria" w:cs="Cambria" w:eastAsia="Cambria" w:hAnsi="Cambria"/>
          <w:b w:val="1"/>
          <w:i w:val="0"/>
          <w:smallCaps w:val="0"/>
          <w:strike w:val="0"/>
          <w:color w:val="92d050"/>
          <w:sz w:val="32"/>
          <w:szCs w:val="32"/>
          <w:u w:val="none"/>
          <w:shd w:fill="auto" w:val="clear"/>
          <w:vertAlign w:val="baseline"/>
        </w:rPr>
        <w:drawing>
          <wp:inline distB="0" distT="0" distL="114300" distR="114300">
            <wp:extent cx="1141730" cy="7315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1730" cy="731520"/>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Przedmiotowe zasady oceniania (PZO) to podstawowe zasady wewnątrzszkolnego oceniania uczniów z konkretnego przedmiotu. Powinny być zgodne z podstawą programową oraz obowiązującymi w szkole wewnątrzszkolnymi zasadami oceniania (WZO). Przedstawiony materiał może posłużyć nauczycielom jedynie jako pomoc w opracowaniu własnych zasad, zgodnych z przepisami obowiązującymi w szkole.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Ogólne zasady oceniania uczniów</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28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Ocenianie osiągnięć edukacyjnych ucznia polega na rozpoznawaniu przez nauczyciela postępów w opanowaniu przez ucznia wiadomości i umiejętności oraz jego poziomu w stosunku do wymagań edukacyjnych wynikających z podstawy programowej i realizowanych w szkole programów nauczania, opracowanych zgodnie z nią.</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Nauczyciel:</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informuje ucznia o poziomie jego osiągnięć edukacyjnych oraz o postępach w tym zakresie;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uczniowi pomocy w samodzielnym planowaniu swojego rozwoju;</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udziela </w:t>
      </w:r>
      <w:hyperlink r:id="rId7">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uczniowi</w:t>
        </w:r>
      </w:hyperlink>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pomocy w nauce poprzez przekazanie informacji o tym, co zrobił dobrze i jak powinien się dalej uczyć;</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426"/>
        </w:tabs>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motywuje ucznia do dalszych postępów w nauce;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dostarcza rodzicom informacji o postępach, trudnościach w nauce oraz specjalnych uzdolnieniach ucznia.</w:t>
      </w:r>
    </w:p>
    <w:p w:rsidR="00000000" w:rsidDel="00000000" w:rsidP="00000000" w:rsidRDefault="00000000" w:rsidRPr="00000000" w14:paraId="0000002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są jawne dla ucznia i jego rodziców.</w:t>
      </w:r>
    </w:p>
    <w:p w:rsidR="00000000" w:rsidDel="00000000" w:rsidP="00000000" w:rsidRDefault="00000000" w:rsidRPr="00000000" w14:paraId="0000002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Nauczyciel uzasadnia ustaloną ocenę w sposób określony w statucie szkoły.</w:t>
      </w:r>
    </w:p>
    <w:p w:rsidR="00000000" w:rsidDel="00000000" w:rsidP="00000000" w:rsidRDefault="00000000" w:rsidRPr="00000000" w14:paraId="0000003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Sprawdzone i ocenione pisemne prace kontrolne są udostępniane do wglądu uczniowi lub jego rodzicom.</w:t>
      </w:r>
    </w:p>
    <w:p w:rsidR="00000000" w:rsidDel="00000000" w:rsidP="00000000" w:rsidRDefault="00000000" w:rsidRPr="00000000" w14:paraId="0000003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Szczegółowe warunki i sposób oceniania wewnątrzszkolnego określa statut szkoły.</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oceniania poszczególnych form aktywności</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Ocenie podlegają: prace klasowe, sprawdziany, kartkówki, odpowiedzi ustne, prace domowe, ćwiczenia praktyczne, praca ucznia na lekcji, prace dodatkowe oraz szczególne osiągnięcia.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klasowe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danego działu.</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Prace klasowe planuje się na zakończenie każdego działu.</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planowanej pracy klasowej z co najmniej tygodniowym wyprzedzeniem (jeśli WZO nie reguluje tego inaczej).</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Przed każdą pracą klasową nauczyciel podaje jej zakres programowy.</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Każdą pracę klasową poprzedza lekcja powtórzeniowa (lub dwie lekcje), podczas której nauczyciel zwraca uwagę uczniów na najważniejsze zagadnienia z danego działu.</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uzasadniania oceny z pracy klasowej, jej poprawy oraz sposób przechowywania prac klasowych są zgodne z WZO.</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Praca klasowa umożliwia sprawdzenie wiadomości i umiejętności na wszystkich poziomach wymagań edukacyjnych – od koniecznego do wykraczającego.</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Zasada przeliczania oceny punktowej na stopień szkolny jest zgodna z WZO.</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 pracy klasowej są przez nauczyciela omawiane i poprawiane po oddaniu prac.</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Sprawdziany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semestru lub całego roku.</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Sprawdziany planuje się na zakończenie na zakończenie I i II semestru.</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Uczeń jest informowany o planowanych sprawdzianach na początku roku szkolnego.</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Każdy sprawdzian poprzedza lekcja powtórzeniowa (lub dwie lekcje), podczas której nauczyciel zwraca uwagę uczniów na najważniejsze zagadnienia z danego semestru czy roku.</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Zadania ze sprawdzianu są przez nauczyciela omawiane i poprawiane po oddaniu prac.</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283"/>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Kartkówki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przeprowadza się w formie pisemnej, a ich celem jest sprawdzenie wiadomości i umiejętności ucznia z zakresu programowego 2, 3 ostatnich jednostek lekcyjnych.</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Nauczyciel nie ma obowiązku uprzedzania uczniów o terminie i zakresie programowym kartkówki.</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tak skonstruowana, by uczeń mógł wykonać wszystkie polecenia w czasie nie dłuższym niż 15 minut.</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Kartkówka jest oceniana w skali punktowej, a liczba punktów jest przeliczana na ocenę zgodnie z zasadami WZO.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Umiejętności i wiadomości objęte kartkówką wchodzą w zakres pracy klasowej przeprowadzanej po zakończeniu działu i tym samym zła ocena z kartkówki może zostać poprawiona pracą klasową.</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Zasady przechowywania kartkówek reguluje WZO.</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Odpowiedź ustna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obejmuje zakres programowy aktualnie realizowanego działu. Oceniając odpowiedź ustną, nauczyciel bierze pod uwagę:</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zgodność wypowiedzi z postawionym pytaniem,</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prawidłowe posługiwanie się pojęciami,</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zawartość merytoryczną wypowiedzi,</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tab/>
        <w:t xml:space="preserve">sposób formułowania wypowiedzi.</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Praca domowa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jest pisemną lub ustną formą ćwiczenia umiejętności i utrwalania wiadomości zdobytych przez ucznia podczas lekcji.</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Pisemną pracę domową uczeń wykonuje w zeszycie, w zeszycie ćwiczeń lub w formie zleconej przez nauczyciela.</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Brak pracy domowej oceniany jest zgodnie z umową nauczyciela z uczniami, przy uwzględnieniu WZO.</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Błędnie wykonana praca domowa jest sygnałem dla nauczyciela, mówiącym o konieczności wprowadzenia dodatkowych ćwiczeń utrwalających umiejętności i nie może być oceniona negatywnie.</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Przy wystawianiu oceny za pracę domową nauczyciel bierze pod uwagę samodzielność i poprawność wykonania.</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Aktywność i praca ucznia na lekcji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są oceniane (jeśli WZO nie stanowi inaczej), zależnie od ich charakteru, za pomocą plusów i minusów.</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ffffff"/>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Plus uczeń może uzyskać m.in. za samodzielne wykonanie krótkiej pracy na lekcji, krótką prawidłową odpowiedź ustną, aktywną pracę w grupie, pomoc koleżeńską na lekcji przy rozwiązaniu problemu, przygotowanie do lekcji.</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Minus uczeń może uzyskać m.in. za brak przygotowania do lekcji (np. brak przyrządów, zeszytu, zeszytu ćwiczeń), brak zaangażowania na lekcji.</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przeliczania plusów i minusów na oceny jest zgodny z umową między nauczycielem i uczniami, przy uwzględnieniu zapisów WZO.</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142"/>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Ćwiczenia praktyczne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zadania praktyczne, które uczeń wykonuje podczas lekcji. Oceniając je, nauczyciel bierze pod uwagę:</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dokładność wykonania polecenia,</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staranność,</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 wypadku pracy w grupie stopień zaangażowania w wykonanie ćwiczenia.</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Prace dodatkowe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dodatkowe zadania dla zainteresowanych uczniów, prace projektowe wykonane indywidualnie lub zespołowo, przygotowanie gazetki ściennej, wykonanie pomocy naukowych, prezentacji. Oceniając ten rodzaj pracy, nauczyciel bierze pod uwagę m.in.:</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wartość merytoryczną pracy,</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estetykę wykonania,</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wkład pracy ucznia,</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sposób prezentacji,</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oryginalność i pomysłowość pracy.</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Szczególne osiągnięcia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uczniów, w tym udział w konkursach przedmiotowych, szkolnych i międzyszkolnych, są oceniane zgodnie z zasadami zapisanymi w WZO.</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Kryteria wystawiania oceny po I semestrze oraz na koniec roku szkolnego</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Klasyfikacja semestralna i roczna polega na podsumowaniu osiągnięć edukacyjnych ucznia oraz ustaleniu oceny klasyfikacyjnej.</w:t>
      </w:r>
    </w:p>
    <w:p w:rsidR="00000000" w:rsidDel="00000000" w:rsidP="00000000" w:rsidRDefault="00000000" w:rsidRPr="00000000" w14:paraId="0000007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Zgodnie z zapisami WZO nauczyciele i wychowawcy na początku każdego roku szkolnego informują uczniów oraz ich rodziców o:</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wymaganiach edukacyjnych niezbędnych do uzyskania poszczególnych śródrocznych i rocznych ocen klasyfikacyjnych z matematyki,</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sposobach sprawdzania osiągnięć edukacyjnych uczniów,</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warunkach i trybie uzyskania wyższej niż przewidywana oceny klasyfikacyjnej,</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trybie odwoływania od wystawionej oceny klasyfikacyjnej.</w:t>
      </w:r>
    </w:p>
    <w:p w:rsidR="00000000" w:rsidDel="00000000" w:rsidP="00000000" w:rsidRDefault="00000000" w:rsidRPr="00000000" w14:paraId="0000007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 wystawianiu oceny śródrocznej lub rocznej nauczyciel bierze pod uwagę stopień opanowania poszczególnych działów tematycznych, oceniany na podstawie wymienionych w punkcie II różnych form sprawdzania wiadomości i umiejętności. Szczegółowe kryteria wystawienia oceny klasyfikacyjnej określa WZO.</w:t>
      </w:r>
    </w:p>
    <w:p w:rsidR="00000000" w:rsidDel="00000000" w:rsidP="00000000" w:rsidRDefault="00000000" w:rsidRPr="00000000" w14:paraId="0000007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uzupełniania braków i poprawiania ocen</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poprawić każdą ocenę.</w:t>
      </w:r>
    </w:p>
    <w:p w:rsidR="00000000" w:rsidDel="00000000" w:rsidP="00000000" w:rsidRDefault="00000000" w:rsidRPr="00000000" w14:paraId="0000007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prac klasowych poprawiane są na poprawkowych pracach klasowych lub ustnie w terminie tygodnia po omówieniu pracy klasowej i wystawieniu ocen, o ile zapis WZO nie stanowi inaczej.</w:t>
      </w:r>
    </w:p>
    <w:p w:rsidR="00000000" w:rsidDel="00000000" w:rsidP="00000000" w:rsidRDefault="00000000" w:rsidRPr="00000000" w14:paraId="0000007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kartkówek poprawiane są zgodnie z WZO.</w:t>
      </w:r>
    </w:p>
    <w:p w:rsidR="00000000" w:rsidDel="00000000" w:rsidP="00000000" w:rsidRDefault="00000000" w:rsidRPr="00000000" w14:paraId="0000007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z odpowiedzi ustnych mogą być poprawione ustnie lub na pracach klasowych.</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Ocenę z pracy domowej lub ćwiczenia praktycznego uczeń może poprawić wykonując tę pracę ponownie.</w:t>
      </w:r>
    </w:p>
    <w:p w:rsidR="00000000" w:rsidDel="00000000" w:rsidP="00000000" w:rsidRDefault="00000000" w:rsidRPr="00000000" w14:paraId="0000007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może uzupełnić braki w wiedzy i umiejętnościach, biorąc udział w zajęciach wyrównawczych lub drogą indywidualnych konsultacji z nauczycielem.</w:t>
      </w:r>
    </w:p>
    <w:p w:rsidR="00000000" w:rsidDel="00000000" w:rsidP="00000000" w:rsidRDefault="00000000" w:rsidRPr="00000000" w14:paraId="0000007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Sposób poprawiania klasyfikacyjnej oceny niedostatecznej semestralnej lub rocznej regulują przepisy WZO i rozporządzenia MEN.</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4"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Zasady badania wyników nauczania</w:t>
      </w: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wyników nauczania ma na celu diagnozowanie efektów kształcenia.</w:t>
      </w:r>
    </w:p>
    <w:p w:rsidR="00000000" w:rsidDel="00000000" w:rsidP="00000000" w:rsidRDefault="00000000" w:rsidRPr="00000000" w14:paraId="0000008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Badanie to odbywa się w trzech etapach:</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wstępnej,</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b05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zakończenie I semestru nauki,</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diagnozy na koniec roku szkolnego.</w:t>
      </w:r>
    </w:p>
    <w:p w:rsidR="00000000" w:rsidDel="00000000" w:rsidP="00000000" w:rsidRDefault="00000000" w:rsidRPr="00000000" w14:paraId="0000008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i w:val="0"/>
          <w:smallCaps w:val="0"/>
          <w:strike w:val="0"/>
          <w:color w:val="00000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Oceny uzyskane przez uczniów podczas tych diagnoz nie mają wpływu na ocenę semestralną i roczną.</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Poziomy wymagań a ocena szkolna</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Wyróżniono następujące wymagania programowe: konieczne (K), podstawowe (P), rozszerzające (R), dopełniające (D) i wykraczające poza program nauczania (W). </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57"/>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Wymienione poziomy wymagań odpowiadają w przybliżeniu ocenom szkolnym. Nauczyciel, określając te poziomy, powinien sprecyzować, czy opanowania konkretnych umiejętności lub wiadomości będzie wymagał na ocenę dopuszczającą (2), dostateczną (3), dobrą (4), bardzo dobrą (5) czy celującą (6).</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konieczne (K)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wiadomości i umiejętności umożliwiające uczniowi dalszą naukę, bez których uczeń nie jest w stanie zrozumieć kolejnych zagadnień omawianych podczas lekcji i wykonywać prostych zadań nawiązujących do sytuacji z życia codziennego.</w:t>
      </w:r>
    </w:p>
    <w:p w:rsidR="00000000" w:rsidDel="00000000" w:rsidP="00000000" w:rsidRDefault="00000000" w:rsidRPr="00000000" w14:paraId="0000008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podstawowe (P)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poziomu K oraz wiadomości stosunkowo łatwe do opanowania, przydatne w życiu codziennym, bez których nie jest możliwe kontynuowanie dalszej nauki.</w:t>
      </w:r>
    </w:p>
    <w:p w:rsidR="00000000" w:rsidDel="00000000" w:rsidP="00000000" w:rsidRDefault="00000000" w:rsidRPr="00000000" w14:paraId="0000008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left"/>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rozszerzające (R)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obejmują wymagania z poziomów K i P oraz wiadomości i umiejętności o średnim stopniu trudności, dotyczące zagadnień bardziej złożonych i nieco trudniejszych, przydatnych na kolejnych poziomach kształcenia; </w:t>
      </w:r>
    </w:p>
    <w:p w:rsidR="00000000" w:rsidDel="00000000" w:rsidP="00000000" w:rsidRDefault="00000000" w:rsidRPr="00000000" w14:paraId="0000009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dopełniające (D)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obejmują wymagania z poziomów K, P i R oraz obejmują wiadomości i umiejętności złożone dotyczące zadań problemowych, o wyższym stopniu trudności.</w:t>
      </w:r>
    </w:p>
    <w:p w:rsidR="00000000" w:rsidDel="00000000" w:rsidP="00000000" w:rsidRDefault="00000000" w:rsidRPr="00000000" w14:paraId="0000009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284" w:right="0" w:hanging="284"/>
        <w:jc w:val="both"/>
        <w:rPr>
          <w:b w:val="0"/>
          <w:i w:val="0"/>
          <w:smallCaps w:val="0"/>
          <w:strike w:val="0"/>
          <w:color w:val="000000"/>
          <w:sz w:val="20"/>
          <w:szCs w:val="20"/>
          <w:u w:val="none"/>
          <w:shd w:fill="auto" w:val="clear"/>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wykraczające (W)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stosowanie znanych wiadomości i umiejętności w sytuacjach trudnych, nietypowych, złożonych.</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Wymagania na poszczególne oceny szkolne:</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dopuszczająca</w:t>
        <w:tab/>
        <w:t xml:space="preserve">– </w:t>
        <w:tab/>
        <w:t xml:space="preserve">wymagania z poziomu K,</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dostateczna</w:t>
        <w:tab/>
        <w:t xml:space="preserve">– </w:t>
        <w:tab/>
        <w:t xml:space="preserve">wymagania z poziomów K i P,</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dobra</w:t>
        <w:tab/>
        <w:t xml:space="preserve">– </w:t>
        <w:tab/>
        <w:t xml:space="preserve">wymagania z poziomów: K, P i R,</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bardzo dobra</w:t>
        <w:tab/>
        <w:t xml:space="preserve">– </w:t>
        <w:tab/>
        <w:t xml:space="preserve">wymagania z poziomów: K, P, R i D,</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843"/>
          <w:tab w:val="left" w:leader="none" w:pos="2127"/>
        </w:tabs>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ocena celująca</w:t>
        <w:tab/>
        <w:t xml:space="preserve">– </w:t>
        <w:tab/>
        <w:t xml:space="preserve">wymagania z poziomów: K, P, R, D i W.</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6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b w:val="0"/>
          <w:i w:val="0"/>
          <w:smallCaps w:val="0"/>
          <w:strike w:val="0"/>
          <w:color w:val="000000"/>
          <w:u w:val="none"/>
          <w:shd w:fill="auto" w:val="clear"/>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Wymagania na poszczególne oceny</w:t>
      </w: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 – Liczby naturalne – część 1</w:t>
      </w:r>
      <w:r w:rsidDel="00000000" w:rsidR="00000000" w:rsidRPr="00000000">
        <w:rPr>
          <w:rtl w:val="0"/>
        </w:rPr>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współrzędne punktów zaznaczonych na osi liczbowej (proste przypadki)</w:t>
            </w:r>
          </w:p>
        </w:tc>
      </w:tr>
      <w:tr>
        <w:trPr>
          <w:cantSplit w:val="0"/>
          <w:tblHeader w:val="0"/>
        </w:trPr>
        <w:tc>
          <w:tcP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 zapisuje słownie liczby zapisane cyframi (w zakresie 1 000 000)</w:t>
            </w:r>
          </w:p>
        </w:tc>
      </w:tr>
      <w:tr>
        <w:trPr>
          <w:cantSplit w:val="0"/>
          <w:tblHeader w:val="0"/>
        </w:trPr>
        <w:tc>
          <w:tcP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liczby podane słowami (w zakresie 1 000 000)</w:t>
            </w:r>
          </w:p>
        </w:tc>
      </w:tr>
      <w:tr>
        <w:trPr>
          <w:cantSplit w:val="0"/>
          <w:tblHeader w:val="0"/>
        </w:trPr>
        <w:tc>
          <w:tcP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liczby bez przekraczania progu dziesiątkowego</w:t>
            </w:r>
          </w:p>
        </w:tc>
      </w:tr>
      <w:tr>
        <w:trPr>
          <w:cantSplit w:val="0"/>
          <w:tblHeader w:val="0"/>
        </w:trPr>
        <w:tc>
          <w:tcP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odejmuje liczby w zakresie 100 bez przekraczania progu dziesiątkowego</w:t>
            </w:r>
          </w:p>
        </w:tc>
      </w:tr>
      <w:tr>
        <w:trPr>
          <w:cantSplit w:val="0"/>
          <w:tblHeader w:val="0"/>
        </w:trPr>
        <w:tc>
          <w:tcP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liczby jednocyfrowe</w:t>
            </w:r>
          </w:p>
        </w:tc>
      </w:tr>
      <w:tr>
        <w:trPr>
          <w:cantSplit w:val="0"/>
          <w:tblHeader w:val="0"/>
        </w:trPr>
        <w:tc>
          <w:tcP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liczby dwucyfrowe przez liczby jednocyfrowe (w zakresie tabliczki mnożenia)</w:t>
            </w:r>
          </w:p>
        </w:tc>
      </w:tr>
      <w:tr>
        <w:trPr>
          <w:cantSplit w:val="0"/>
          <w:tblHeader w:val="0"/>
        </w:trPr>
        <w:tc>
          <w:tcPr>
            <w:vAlign w:val="top"/>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dodawania, odejmowania, mnożenia</w:t>
            </w:r>
          </w:p>
        </w:tc>
      </w:tr>
    </w:tb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1"/>
        </w:trPr>
        <w:tc>
          <w:tcP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podane liczby naturalne na osi liczbowej</w:t>
            </w:r>
          </w:p>
        </w:tc>
      </w:tr>
      <w:tr>
        <w:trPr>
          <w:cantSplit w:val="0"/>
          <w:tblHeader w:val="1"/>
        </w:trPr>
        <w:tc>
          <w:tcP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 zapisuje słownie liczby zapisane cyframi</w:t>
            </w:r>
          </w:p>
        </w:tc>
      </w:tr>
      <w:tr>
        <w:trPr>
          <w:cantSplit w:val="0"/>
          <w:tblHeader w:val="1"/>
        </w:trPr>
        <w:tc>
          <w:tcP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liczby podane słowami, zapisuje słownie i cyframi kwoty złożone z banknotów i monet o podanych nominałach</w:t>
            </w:r>
          </w:p>
        </w:tc>
      </w:tr>
      <w:tr>
        <w:trPr>
          <w:cantSplit w:val="0"/>
          <w:tblHeader w:val="1"/>
        </w:trPr>
        <w:tc>
          <w:tcP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liczby w zakresie 100 z przekraczaniem progu dziesiątkowego</w:t>
            </w:r>
          </w:p>
        </w:tc>
      </w:tr>
      <w:tr>
        <w:trPr>
          <w:cantSplit w:val="0"/>
          <w:tblHeader w:val="1"/>
        </w:trPr>
        <w:tc>
          <w:tcP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prawa łączności i przemienności dodawania (mnożenia)</w:t>
            </w:r>
          </w:p>
        </w:tc>
      </w:tr>
      <w:tr>
        <w:trPr>
          <w:cantSplit w:val="0"/>
          <w:tblHeader w:val="1"/>
        </w:trPr>
        <w:tc>
          <w:tcP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składnik, gdy jest podana suma i drugi składnik (w zakresie 100)</w:t>
            </w:r>
          </w:p>
        </w:tc>
      </w:tr>
      <w:tr>
        <w:trPr>
          <w:cantSplit w:val="0"/>
          <w:tblHeader w:val="1"/>
        </w:trPr>
        <w:tc>
          <w:tcP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odjemną, gdy jest podany odjemnik i różnica (w zakresie 100)</w:t>
            </w:r>
          </w:p>
        </w:tc>
      </w:tr>
      <w:tr>
        <w:trPr>
          <w:cantSplit w:val="0"/>
          <w:tblHeader w:val="1"/>
        </w:trPr>
        <w:tc>
          <w:tcP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odjemnik, gdy jest podana odjemna i różnica (w zakresie 100)</w:t>
            </w:r>
          </w:p>
        </w:tc>
      </w:tr>
      <w:tr>
        <w:trPr>
          <w:cantSplit w:val="0"/>
          <w:tblHeader w:val="1"/>
        </w:trPr>
        <w:tc>
          <w:tcP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jeden czynnik, gdy dany jest drugi czynnik i iloczyn (w zakresie 100)</w:t>
            </w:r>
          </w:p>
        </w:tc>
      </w:tr>
      <w:tr>
        <w:trPr>
          <w:cantSplit w:val="0"/>
          <w:tblHeader w:val="1"/>
        </w:trPr>
        <w:tc>
          <w:tcP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dzielną, gdy dane są dzielnik i iloraz (w zakresie 100)</w:t>
            </w:r>
          </w:p>
        </w:tc>
      </w:tr>
      <w:tr>
        <w:trPr>
          <w:cantSplit w:val="0"/>
          <w:tblHeader w:val="1"/>
        </w:trPr>
        <w:tc>
          <w:tcP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dzielnik, gdy dane są dzielna i iloraz (w zakresie 100)</w:t>
            </w:r>
          </w:p>
        </w:tc>
      </w:tr>
      <w:tr>
        <w:trPr>
          <w:cantSplit w:val="0"/>
          <w:tblHeader w:val="1"/>
        </w:trPr>
        <w:tc>
          <w:tcP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wymienia dzielniki danej liczby dwucyfrowej</w:t>
            </w:r>
          </w:p>
        </w:tc>
      </w:tr>
      <w:tr>
        <w:trPr>
          <w:cantSplit w:val="0"/>
          <w:tblHeader w:val="1"/>
        </w:trPr>
        <w:tc>
          <w:tcP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wykonuje dzielenie z resztą (w zakresie 100)</w:t>
            </w:r>
          </w:p>
        </w:tc>
      </w:tr>
      <w:tr>
        <w:trPr>
          <w:cantSplit w:val="0"/>
          <w:tblHeader w:val="1"/>
        </w:trPr>
        <w:tc>
          <w:tcPr>
            <w:vAlign w:val="top"/>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dzielenia lub dzielenia z resztą</w:t>
            </w:r>
          </w:p>
        </w:tc>
      </w:tr>
      <w:tr>
        <w:trPr>
          <w:cantSplit w:val="0"/>
          <w:tblHeader w:val="1"/>
        </w:trPr>
        <w:tc>
          <w:tcP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liczbę dwucyfrową przez liczbę jednocyfrową (w zakresie 100)</w:t>
            </w:r>
          </w:p>
        </w:tc>
      </w:tr>
    </w:tbl>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w pamięci liczby naturalne z przekraczaniem progu dziesiątkowego</w:t>
            </w:r>
          </w:p>
        </w:tc>
      </w:tr>
      <w:tr>
        <w:trPr>
          <w:cantSplit w:val="0"/>
          <w:tblHeader w:val="0"/>
        </w:trPr>
        <w:tc>
          <w:tcPr>
            <w:vAlign w:val="top"/>
          </w:tcPr>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w pamięci liczby jednocyfrowe przez liczby dwucyfrowe (w zakresie 100)</w:t>
            </w:r>
          </w:p>
        </w:tc>
      </w:tr>
      <w:tr>
        <w:trPr>
          <w:cantSplit w:val="0"/>
          <w:tblHeader w:val="0"/>
        </w:trPr>
        <w:tc>
          <w:tcPr>
            <w:vAlign w:val="top"/>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wykorzystaniem mnożenia i dzielenia</w:t>
            </w:r>
          </w:p>
        </w:tc>
      </w:tr>
    </w:tbl>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ustala jednostkę na osi liczbowej na podstawie podanych współrzędnych punktów</w:t>
            </w:r>
          </w:p>
        </w:tc>
      </w:tr>
      <w:tr>
        <w:trPr>
          <w:cantSplit w:val="0"/>
          <w:tblHeader w:val="0"/>
        </w:trPr>
        <w:tc>
          <w:tcP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w:t>
            </w:r>
          </w:p>
        </w:tc>
      </w:tr>
    </w:tbl>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 – Liczby naturalne – część 2</w:t>
      </w:r>
      <w:r w:rsidDel="00000000" w:rsidR="00000000" w:rsidRPr="00000000">
        <w:rPr>
          <w:rtl w:val="0"/>
        </w:rPr>
      </w:r>
    </w:p>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czasu (godziny na minuty, minuty na sekundy, kwadranse na minuty, godziny na kwadranse)</w:t>
            </w:r>
          </w:p>
        </w:tc>
      </w:tr>
      <w:tr>
        <w:trPr>
          <w:cantSplit w:val="0"/>
          <w:tblHeader w:val="0"/>
        </w:trPr>
        <w:tc>
          <w:tcP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słownie godziny przedstawione na zegarze</w:t>
            </w:r>
          </w:p>
        </w:tc>
      </w:tr>
      <w:tr>
        <w:trPr>
          <w:cantSplit w:val="0"/>
          <w:tblHeader w:val="0"/>
        </w:trPr>
        <w:tc>
          <w:tcPr>
            <w:vAlign w:val="top"/>
          </w:tcPr>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0E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upływ czasu, np. od 12.30 do 12.48</w:t>
            </w:r>
          </w:p>
        </w:tc>
      </w:tr>
      <w:tr>
        <w:trPr>
          <w:cantSplit w:val="0"/>
          <w:tblHeader w:val="0"/>
        </w:trPr>
        <w:tc>
          <w:tcP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zna cyfry rzymskie (I, V, X)</w:t>
            </w:r>
          </w:p>
        </w:tc>
      </w:tr>
      <w:tr>
        <w:trPr>
          <w:cantSplit w:val="0"/>
          <w:tblHeader w:val="0"/>
        </w:trPr>
        <w:tc>
          <w:tcP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rzymskimi liczby naturalne (do 12) zapisane cyframi arabskimi</w:t>
            </w:r>
          </w:p>
        </w:tc>
      </w:tr>
      <w:tr>
        <w:trPr>
          <w:cantSplit w:val="0"/>
          <w:tblHeader w:val="0"/>
        </w:trPr>
        <w:tc>
          <w:tcPr>
            <w:vAlign w:val="top"/>
          </w:tcPr>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czas trwania roku zwykłego i roku przestępnego (liczbę dni)</w:t>
            </w:r>
          </w:p>
        </w:tc>
      </w:tr>
      <w:tr>
        <w:trPr>
          <w:cantSplit w:val="0"/>
          <w:tblHeader w:val="0"/>
        </w:trPr>
        <w:tc>
          <w:tcPr>
            <w:vAlign w:val="top"/>
          </w:tcPr>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spośród podanych liczb wybiera liczby podzielne przez 10, przez 5, przez 2</w:t>
            </w:r>
          </w:p>
        </w:tc>
      </w:tr>
      <w:tr>
        <w:trPr>
          <w:cantSplit w:val="0"/>
          <w:tblHeader w:val="0"/>
        </w:trPr>
        <w:tc>
          <w:tcPr>
            <w:vAlign w:val="top"/>
          </w:tcPr>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przedstawia drugą i trzecią potęgę za pomocą iloczynu takich samych czynników</w:t>
            </w:r>
          </w:p>
        </w:tc>
      </w:tr>
      <w:tr>
        <w:trPr>
          <w:cantSplit w:val="0"/>
          <w:tblHeader w:val="0"/>
        </w:trPr>
        <w:tc>
          <w:tcP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0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dwudziałaniowych wyrażeń arytmetycznych</w:t>
            </w:r>
          </w:p>
        </w:tc>
      </w:tr>
      <w:tr>
        <w:trPr>
          <w:cantSplit w:val="0"/>
          <w:tblHeader w:val="0"/>
        </w:trPr>
        <w:tc>
          <w:tcPr>
            <w:vAlign w:val="top"/>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liczby zakończone zerami przez liczby jednocyfrowe</w:t>
            </w:r>
          </w:p>
        </w:tc>
      </w:tr>
      <w:tr>
        <w:trPr>
          <w:cantSplit w:val="0"/>
          <w:tblHeader w:val="0"/>
        </w:trPr>
        <w:tc>
          <w:tcPr>
            <w:vAlign w:val="top"/>
          </w:tcPr>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9" w:hanging="275"/>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 dodawania dwóch liczb dwu- lub trzycyfrowych</w:t>
            </w:r>
          </w:p>
        </w:tc>
      </w:tr>
    </w:tbl>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upływ czasu, np. od 14.29 do 15.25</w:t>
            </w:r>
          </w:p>
        </w:tc>
      </w:tr>
      <w:tr>
        <w:trPr>
          <w:cantSplit w:val="0"/>
          <w:tblHeader w:val="0"/>
        </w:trPr>
        <w:tc>
          <w:tcP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rzymskimi liczby naturalne (do 39) zapisane cyframi arabskimi</w:t>
            </w:r>
          </w:p>
        </w:tc>
      </w:tr>
      <w:tr>
        <w:trPr>
          <w:cantSplit w:val="0"/>
          <w:tblHeader w:val="0"/>
        </w:trPr>
        <w:tc>
          <w:tcPr>
            <w:vAlign w:val="top"/>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daty z wykorzystaniem cyfr rzymskich</w:t>
            </w:r>
          </w:p>
        </w:tc>
      </w:tr>
      <w:tr>
        <w:trPr>
          <w:cantSplit w:val="0"/>
          <w:tblHeader w:val="0"/>
        </w:trPr>
        <w:tc>
          <w:tcP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wykorzystaniem obliczeń kalendarzowych i zegarowych</w:t>
            </w:r>
          </w:p>
        </w:tc>
      </w:tr>
      <w:tr>
        <w:trPr>
          <w:cantSplit w:val="0"/>
          <w:tblHeader w:val="0"/>
        </w:trPr>
        <w:tc>
          <w:tcPr>
            <w:vAlign w:val="top"/>
          </w:tcPr>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przypisuje podany rok do odpowiedniego stulecia</w:t>
            </w:r>
          </w:p>
        </w:tc>
      </w:tr>
      <w:tr>
        <w:trPr>
          <w:cantSplit w:val="0"/>
          <w:tblHeader w:val="0"/>
        </w:trPr>
        <w:tc>
          <w:tcPr>
            <w:vAlign w:val="top"/>
          </w:tcPr>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kwadrat i sześcian liczby naturalnej</w:t>
            </w:r>
          </w:p>
        </w:tc>
      </w:tr>
      <w:tr>
        <w:trPr>
          <w:cantSplit w:val="0"/>
          <w:tblHeader w:val="0"/>
        </w:trPr>
        <w:tc>
          <w:tcP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iloczyn takich samych dwóch lub trzech czynników za pomocą potęgi</w:t>
            </w:r>
          </w:p>
        </w:tc>
      </w:tr>
      <w:tr>
        <w:trPr>
          <w:cantSplit w:val="0"/>
          <w:tblHeader w:val="0"/>
        </w:trPr>
        <w:tc>
          <w:tcPr>
            <w:vAlign w:val="top"/>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przykłady liczb podzielnych przez 10, przez 5, przez 2</w:t>
            </w:r>
          </w:p>
        </w:tc>
      </w:tr>
      <w:tr>
        <w:trPr>
          <w:cantSplit w:val="0"/>
          <w:tblHeader w:val="0"/>
        </w:trPr>
        <w:tc>
          <w:tcPr>
            <w:vAlign w:val="top"/>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wybiera spośród podanych liczb liczby podzielne przez 9, przez 3</w:t>
            </w:r>
          </w:p>
        </w:tc>
      </w:tr>
      <w:tr>
        <w:trPr>
          <w:cantSplit w:val="0"/>
          <w:tblHeader w:val="0"/>
        </w:trPr>
        <w:tc>
          <w:tcP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liczby z zerami na końcu</w:t>
            </w:r>
          </w:p>
        </w:tc>
      </w:tr>
      <w:tr>
        <w:trPr>
          <w:cantSplit w:val="0"/>
          <w:tblHeader w:val="0"/>
        </w:trPr>
        <w:tc>
          <w:tcP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trójdziałaniowych wyrażeń arytmetycznych</w:t>
            </w:r>
          </w:p>
        </w:tc>
      </w:tr>
      <w:tr>
        <w:trPr>
          <w:cantSplit w:val="0"/>
          <w:tblHeader w:val="0"/>
        </w:trPr>
        <w:tc>
          <w:tcPr>
            <w:vAlign w:val="top"/>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 odejmowania dwóch liczb (dwucyfrowych, trzycyfrowych)</w:t>
            </w:r>
          </w:p>
        </w:tc>
      </w:tr>
      <w:tr>
        <w:trPr>
          <w:cantSplit w:val="0"/>
          <w:tblHeader w:val="0"/>
        </w:trPr>
        <w:tc>
          <w:tcP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wynik mnożenia dwóch liczb</w:t>
            </w:r>
          </w:p>
        </w:tc>
      </w:tr>
    </w:tbl>
    <w:p w:rsidR="00000000" w:rsidDel="00000000" w:rsidP="00000000" w:rsidRDefault="00000000" w:rsidRPr="00000000" w14:paraId="000001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wykonuje obliczenia zegarowe i kalendarzowe</w:t>
            </w:r>
          </w:p>
        </w:tc>
      </w:tr>
      <w:tr>
        <w:trPr>
          <w:cantSplit w:val="0"/>
          <w:tblHeader w:val="0"/>
        </w:trPr>
        <w:tc>
          <w:tcP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cyframi arabskimi liczby do 39 zapisane cyframi rzymskimi</w:t>
            </w:r>
          </w:p>
        </w:tc>
      </w:tr>
      <w:tr>
        <w:trPr>
          <w:cantSplit w:val="0"/>
          <w:tblHeader w:val="0"/>
        </w:trPr>
        <w:tc>
          <w:tcP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cech podzielności przez 10, przez 5, przez 2</w:t>
            </w:r>
          </w:p>
        </w:tc>
      </w:tr>
      <w:tr>
        <w:trPr>
          <w:cantSplit w:val="0"/>
          <w:tblHeader w:val="0"/>
        </w:trPr>
        <w:tc>
          <w:tcPr>
            <w:vAlign w:val="top"/>
          </w:tcPr>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wartości wielodziałaniowych wyrażeń arytmetycznych</w:t>
            </w:r>
          </w:p>
        </w:tc>
      </w:tr>
      <w:tr>
        <w:trPr>
          <w:cantSplit w:val="0"/>
          <w:tblHeader w:val="0"/>
        </w:trPr>
        <w:tc>
          <w:tcP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mnożenia i dzielenia liczb zakończonych zerami</w:t>
            </w:r>
          </w:p>
        </w:tc>
      </w:tr>
    </w:tbl>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liczbę naturalną, znając jej kwadrat, np. 25, 49</w:t>
            </w:r>
          </w:p>
        </w:tc>
      </w:tr>
      <w:tr>
        <w:trPr>
          <w:cantSplit w:val="0"/>
          <w:tblHeader w:val="0"/>
        </w:trPr>
        <w:tc>
          <w:tcP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wartość wielodziałaniowego wyrażenia arytmetycznego</w:t>
            </w:r>
          </w:p>
        </w:tc>
      </w:tr>
      <w:tr>
        <w:trPr>
          <w:cantSplit w:val="0"/>
          <w:tblHeader w:val="0"/>
        </w:trPr>
        <w:tc>
          <w:tcPr>
            <w:vAlign w:val="top"/>
          </w:tcPr>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stosuje cechy podzielności przy wyszukiwaniu liczb spełniających dany warunek</w:t>
            </w:r>
          </w:p>
        </w:tc>
      </w:tr>
      <w:tr>
        <w:trPr>
          <w:cantSplit w:val="0"/>
          <w:tblHeader w:val="0"/>
        </w:trPr>
        <w:tc>
          <w:tcPr>
            <w:vAlign w:val="top"/>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cech podzielności przez 9 i przez 3</w:t>
            </w:r>
          </w:p>
        </w:tc>
      </w:tr>
      <w:tr>
        <w:trPr>
          <w:cantSplit w:val="0"/>
          <w:tblHeader w:val="0"/>
        </w:trPr>
        <w:tc>
          <w:tcP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mnożenia i dzielenia liczb zakończonych</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zerami</w:t>
            </w:r>
          </w:p>
        </w:tc>
      </w:tr>
    </w:tbl>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III – Działania pisemne</w:t>
      </w: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pisemnie liczby z przekraczaniem kolejnych progów dziesiątkowych</w:t>
            </w:r>
          </w:p>
        </w:tc>
      </w:tr>
      <w:tr>
        <w:trPr>
          <w:cantSplit w:val="0"/>
          <w:tblHeader w:val="0"/>
        </w:trPr>
        <w:tc>
          <w:tcPr>
            <w:vAlign w:val="top"/>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liczbę wielocyfrową przez liczbę jednocyfrową</w:t>
            </w:r>
          </w:p>
        </w:tc>
      </w:tr>
      <w:tr>
        <w:trPr>
          <w:cantSplit w:val="0"/>
          <w:tblHeader w:val="0"/>
        </w:trPr>
        <w:tc>
          <w:tcPr>
            <w:vAlign w:val="top"/>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dodawania i odejmowania pisemnego</w:t>
            </w:r>
          </w:p>
        </w:tc>
      </w:tr>
      <w:tr>
        <w:trPr>
          <w:cantSplit w:val="0"/>
          <w:tblHeader w:val="0"/>
        </w:trPr>
        <w:tc>
          <w:tcP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mnożenia liczby wielocyfrowej przez liczbę jednocyfrową</w:t>
            </w:r>
          </w:p>
        </w:tc>
      </w:tr>
    </w:tbl>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przez liczby dwucyfrowe</w:t>
            </w:r>
          </w:p>
        </w:tc>
      </w:tr>
      <w:tr>
        <w:trPr>
          <w:cantSplit w:val="0"/>
          <w:tblHeader w:val="0"/>
        </w:trPr>
        <w:tc>
          <w:tcP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liczby zakończone zerami</w:t>
            </w:r>
          </w:p>
        </w:tc>
      </w:tr>
      <w:tr>
        <w:trPr>
          <w:cantSplit w:val="0"/>
          <w:tblHeader w:val="0"/>
        </w:trPr>
        <w:tc>
          <w:tcPr>
            <w:vAlign w:val="top"/>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dzieli pisemnie liczby wielocyfrowe przez liczby jednocyfrowe</w:t>
            </w:r>
          </w:p>
        </w:tc>
      </w:tr>
      <w:tr>
        <w:trPr>
          <w:cantSplit w:val="0"/>
          <w:tblHeader w:val="0"/>
        </w:trPr>
        <w:tc>
          <w:tcPr>
            <w:vAlign w:val="top"/>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sprawdza poprawność wykonanych działań</w:t>
            </w:r>
          </w:p>
        </w:tc>
      </w:tr>
    </w:tbl>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pisemnie liczby wielocyfrowe</w:t>
            </w:r>
          </w:p>
        </w:tc>
      </w:tr>
      <w:tr>
        <w:trPr>
          <w:cantSplit w:val="0"/>
          <w:tblHeader w:val="0"/>
        </w:trPr>
        <w:tc>
          <w:tcPr>
            <w:vAlign w:val="top"/>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 obliczeń pisemnych do wyznaczenia odjemnej, gdy są podane odjemnik i różnica</w:t>
            </w:r>
          </w:p>
        </w:tc>
      </w:tr>
      <w:tr>
        <w:trPr>
          <w:cantSplit w:val="0"/>
          <w:tblHeader w:val="0"/>
        </w:trPr>
        <w:tc>
          <w:tcPr>
            <w:vAlign w:val="top"/>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korzysta z obliczeń pisemnych do wyznaczenia odjemnika, gdy są podane odjemna i różnica</w:t>
            </w:r>
          </w:p>
        </w:tc>
      </w:tr>
      <w:tr>
        <w:trPr>
          <w:cantSplit w:val="0"/>
          <w:tblHeader w:val="0"/>
        </w:trPr>
        <w:tc>
          <w:tcPr>
            <w:vAlign w:val="top"/>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typowe zadania tekstowe z zastosowaniem dodawania, odejmowania i mnożenia przez</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liczby jednocyfrowe sposobem pisemnym</w:t>
            </w:r>
          </w:p>
        </w:tc>
      </w:tr>
    </w:tb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dodawania i odejmowania sposobem pisemnym</w:t>
            </w:r>
          </w:p>
        </w:tc>
      </w:tr>
      <w:tr>
        <w:trPr>
          <w:cantSplit w:val="0"/>
          <w:tblHeader w:val="0"/>
        </w:trPr>
        <w:tc>
          <w:tcPr>
            <w:vAlign w:val="top"/>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7"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zastosowaniem mnożenia sposobem pisemnym</w:t>
            </w:r>
          </w:p>
        </w:tc>
      </w:tr>
    </w:tbl>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IV – Figury geometryczne – część 1</w:t>
      </w: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3"/>
        <w:tblW w:w="9212.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3"/>
        <w:gridCol w:w="8759"/>
        <w:tblGridChange w:id="0">
          <w:tblGrid>
            <w:gridCol w:w="453"/>
            <w:gridCol w:w="8759"/>
          </w:tblGrid>
        </w:tblGridChange>
      </w:tblGrid>
      <w:tr>
        <w:trPr>
          <w:cantSplit w:val="0"/>
          <w:tblHeader w:val="0"/>
        </w:trPr>
        <w:tc>
          <w:tcPr>
            <w:vAlign w:val="top"/>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rozpoznaje podstawowe figury geometryczne: punkt, odcinek, prostą</w:t>
            </w:r>
          </w:p>
        </w:tc>
      </w:tr>
      <w:tr>
        <w:trPr>
          <w:cantSplit w:val="0"/>
          <w:tblHeader w:val="0"/>
        </w:trPr>
        <w:tc>
          <w:tcP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punkty należące do odcinka i do prostej</w:t>
            </w:r>
          </w:p>
        </w:tc>
      </w:tr>
      <w:tr>
        <w:trPr>
          <w:cantSplit w:val="0"/>
          <w:tblHeader w:val="0"/>
        </w:trPr>
        <w:tc>
          <w:tcPr>
            <w:vAlign w:val="top"/>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na rysunku proste i odcinki prostopadłe oraz równoległe</w:t>
            </w:r>
          </w:p>
        </w:tc>
      </w:tr>
      <w:tr>
        <w:trPr>
          <w:cantSplit w:val="0"/>
          <w:tblHeader w:val="0"/>
        </w:trPr>
        <w:tc>
          <w:tcPr>
            <w:vAlign w:val="top"/>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odcinek o podanej długości</w:t>
            </w:r>
          </w:p>
        </w:tc>
      </w:tr>
      <w:tr>
        <w:trPr>
          <w:cantSplit w:val="0"/>
          <w:tblHeader w:val="0"/>
        </w:trPr>
        <w:tc>
          <w:tcPr>
            <w:vAlign w:val="top"/>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rozróżnia wśród czworokątów prostokąty i kwadraty</w:t>
            </w:r>
          </w:p>
        </w:tc>
      </w:tr>
      <w:tr>
        <w:trPr>
          <w:cantSplit w:val="0"/>
          <w:tblHeader w:val="0"/>
        </w:trPr>
        <w:tc>
          <w:tcP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prostokąty, których wymiary są wyrażone taką samą jednostką</w:t>
            </w:r>
          </w:p>
        </w:tc>
      </w:tr>
      <w:tr>
        <w:trPr>
          <w:cantSplit w:val="0"/>
          <w:tblHeader w:val="0"/>
        </w:trPr>
        <w:tc>
          <w:tcP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kwadraty o podanych wymiarach</w:t>
            </w:r>
          </w:p>
        </w:tc>
      </w:tr>
      <w:tr>
        <w:trPr>
          <w:cantSplit w:val="0"/>
          <w:tblHeader w:val="0"/>
        </w:trPr>
        <w:tc>
          <w:tcPr>
            <w:vAlign w:val="top"/>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przekątne prostokątów</w:t>
            </w:r>
          </w:p>
        </w:tc>
      </w:tr>
      <w:tr>
        <w:trPr>
          <w:cantSplit w:val="0"/>
          <w:tblHeader w:val="0"/>
        </w:trPr>
        <w:tc>
          <w:tcPr>
            <w:vAlign w:val="top"/>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9.</w:t>
            </w:r>
          </w:p>
        </w:tc>
        <w:tc>
          <w:tcPr>
            <w:vAlign w:val="top"/>
          </w:tcPr>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wyróżnia wśród innych figur wielokąty i podaje ich nazwy</w:t>
            </w:r>
          </w:p>
        </w:tc>
      </w:tr>
      <w:tr>
        <w:trPr>
          <w:cantSplit w:val="0"/>
          <w:tblHeader w:val="0"/>
        </w:trPr>
        <w:tc>
          <w:tcPr>
            <w:vAlign w:val="top"/>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10.</w:t>
            </w:r>
          </w:p>
        </w:tc>
        <w:tc>
          <w:tcPr>
            <w:vAlign w:val="top"/>
          </w:tcPr>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wymienia różne jednostki długości</w:t>
            </w:r>
          </w:p>
        </w:tc>
      </w:tr>
      <w:tr>
        <w:trPr>
          <w:cantSplit w:val="0"/>
          <w:tblHeader w:val="0"/>
        </w:trPr>
        <w:tc>
          <w:tcPr>
            <w:vAlign w:val="top"/>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11.</w:t>
            </w:r>
          </w:p>
        </w:tc>
        <w:tc>
          <w:tcPr>
            <w:vAlign w:val="top"/>
          </w:tcPr>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wielokąta, którego długości boków są wyrażone taką samą jednostką</w:t>
            </w:r>
          </w:p>
        </w:tc>
      </w:tr>
      <w:tr>
        <w:trPr>
          <w:cantSplit w:val="0"/>
          <w:tblHeader w:val="0"/>
        </w:trPr>
        <w:tc>
          <w:tcP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12.</w:t>
            </w:r>
          </w:p>
        </w:tc>
        <w:tc>
          <w:tcPr>
            <w:vAlign w:val="top"/>
          </w:tcPr>
          <w:p w:rsidR="00000000" w:rsidDel="00000000" w:rsidP="00000000" w:rsidRDefault="00000000" w:rsidRPr="00000000" w14:paraId="000001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wybiera spośród podanych figur te, które mają oś symetrii</w:t>
            </w:r>
          </w:p>
        </w:tc>
      </w:tr>
      <w:tr>
        <w:trPr>
          <w:cantSplit w:val="0"/>
          <w:tblHeader w:val="0"/>
        </w:trPr>
        <w:tc>
          <w:tcP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13.</w:t>
            </w:r>
          </w:p>
        </w:tc>
        <w:tc>
          <w:tcPr>
            <w:vAlign w:val="top"/>
          </w:tcPr>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środek, promień i średnicę koła i okręgu</w:t>
            </w:r>
          </w:p>
        </w:tc>
      </w:tr>
      <w:tr>
        <w:trPr>
          <w:cantSplit w:val="0"/>
          <w:tblHeader w:val="0"/>
        </w:trPr>
        <w:tc>
          <w:tcP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14.</w:t>
            </w:r>
          </w:p>
        </w:tc>
        <w:tc>
          <w:tcPr>
            <w:vAlign w:val="top"/>
          </w:tcPr>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okrąg i koło o danym promieniu i o danej średnicy</w:t>
            </w:r>
          </w:p>
        </w:tc>
      </w:tr>
      <w:tr>
        <w:trPr>
          <w:cantSplit w:val="0"/>
          <w:tblHeader w:val="0"/>
        </w:trPr>
        <w:tc>
          <w:tcP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15.</w:t>
            </w:r>
          </w:p>
        </w:tc>
        <w:tc>
          <w:tcPr>
            <w:vAlign w:val="top"/>
          </w:tcPr>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odcinek o podanej długości w podanej skali</w:t>
            </w:r>
          </w:p>
        </w:tc>
      </w:tr>
    </w:tbl>
    <w:p w:rsidR="00000000" w:rsidDel="00000000" w:rsidP="00000000" w:rsidRDefault="00000000" w:rsidRPr="00000000" w14:paraId="000001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prostą równoległą i prostą prostopadłą do danej prostej</w:t>
            </w:r>
          </w:p>
        </w:tc>
      </w:tr>
      <w:tr>
        <w:trPr>
          <w:cantSplit w:val="0"/>
          <w:tblHeader w:val="0"/>
        </w:trPr>
        <w:tc>
          <w:tcPr>
            <w:vAlign w:val="top"/>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z wykorzystaniem własności boków i kątów prostokąta i kwadratu</w:t>
            </w:r>
          </w:p>
        </w:tc>
      </w:tr>
      <w:tr>
        <w:trPr>
          <w:cantSplit w:val="0"/>
          <w:tblHeader w:val="0"/>
        </w:trPr>
        <w:tc>
          <w:tcPr>
            <w:vAlign w:val="top"/>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liczbę przekątnych w wielokącie</w:t>
            </w:r>
          </w:p>
        </w:tc>
      </w:tr>
      <w:tr>
        <w:trPr>
          <w:cantSplit w:val="0"/>
          <w:tblHeader w:val="0"/>
        </w:trPr>
        <w:tc>
          <w:tcP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 np. metry na centymetry, centymetry na milimetry</w:t>
            </w:r>
          </w:p>
        </w:tc>
      </w:tr>
      <w:tr>
        <w:trPr>
          <w:cantSplit w:val="0"/>
          <w:tblHeader w:val="0"/>
        </w:trPr>
        <w:tc>
          <w:tcPr>
            <w:vAlign w:val="top"/>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osie symetrii figury</w:t>
            </w:r>
          </w:p>
        </w:tc>
      </w:tr>
      <w:tr>
        <w:trPr>
          <w:cantSplit w:val="0"/>
          <w:tblHeader w:val="0"/>
        </w:trPr>
        <w:tc>
          <w:tcPr>
            <w:vAlign w:val="top"/>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podaje zależność między promieniem a średnicą koła i okręgu</w:t>
            </w:r>
          </w:p>
        </w:tc>
      </w:tr>
      <w:tr>
        <w:trPr>
          <w:cantSplit w:val="0"/>
          <w:tblHeader w:val="0"/>
        </w:trPr>
        <w:tc>
          <w:tcP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wymiary figur geometrycznych i obiektów w skali wyrażonej niewielkimi liczbami naturalnymi</w:t>
            </w:r>
          </w:p>
        </w:tc>
      </w:tr>
      <w:tr>
        <w:trPr>
          <w:cantSplit w:val="0"/>
          <w:tblHeader w:val="0"/>
        </w:trPr>
        <w:tc>
          <w:tcPr>
            <w:vAlign w:val="top"/>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tc>
        <w:tc>
          <w:tcPr>
            <w:vAlign w:val="top"/>
          </w:tcPr>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w prostych przypadkach rzeczywistą odległość na podstawie mapy ze skalą mianowaną</w:t>
            </w:r>
          </w:p>
        </w:tc>
      </w:tr>
    </w:tbl>
    <w:p w:rsidR="00000000" w:rsidDel="00000000" w:rsidP="00000000" w:rsidRDefault="00000000" w:rsidRPr="00000000" w14:paraId="000001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5"/>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odcinek równoległy i odcinek prostopadły do danego odcinka</w:t>
            </w:r>
          </w:p>
        </w:tc>
      </w:tr>
      <w:tr>
        <w:trPr>
          <w:cantSplit w:val="0"/>
          <w:tblHeader w:val="0"/>
        </w:trPr>
        <w:tc>
          <w:tcPr>
            <w:vAlign w:val="top"/>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wymienia własności boków i kątów prostokąta i kwadratu</w:t>
            </w:r>
          </w:p>
        </w:tc>
      </w:tr>
      <w:tr>
        <w:trPr>
          <w:cantSplit w:val="0"/>
          <w:tblHeader w:val="0"/>
        </w:trPr>
        <w:tc>
          <w:tcPr>
            <w:vAlign w:val="top"/>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wielokąty spełniające określone warunki</w:t>
            </w:r>
          </w:p>
        </w:tc>
      </w:tr>
      <w:tr>
        <w:trPr>
          <w:cantSplit w:val="0"/>
          <w:tblHeader w:val="0"/>
        </w:trPr>
        <w:tc>
          <w:tcP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długość boku prostokąta przy danym obwodzie i drugim boku</w:t>
            </w:r>
          </w:p>
        </w:tc>
      </w:tr>
      <w:tr>
        <w:trPr>
          <w:cantSplit w:val="0"/>
          <w:tblHeader w:val="0"/>
        </w:trPr>
        <w:tc>
          <w:tcPr>
            <w:vAlign w:val="top"/>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figurę mającą dwie osie symetrii</w:t>
            </w:r>
          </w:p>
        </w:tc>
      </w:tr>
      <w:tr>
        <w:trPr>
          <w:cantSplit w:val="0"/>
          <w:tblHeader w:val="0"/>
        </w:trPr>
        <w:tc>
          <w:tcPr>
            <w:vAlign w:val="top"/>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rzeczywiste wymiary obiektów, znając ich wymiary w podanej skali</w:t>
            </w:r>
          </w:p>
        </w:tc>
      </w:tr>
    </w:tbl>
    <w:p w:rsidR="00000000" w:rsidDel="00000000" w:rsidP="00000000" w:rsidRDefault="00000000" w:rsidRPr="00000000" w14:paraId="000001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tekstowe z wykorzystaniem własności wielokątów, koła i okręgu</w:t>
            </w:r>
          </w:p>
        </w:tc>
      </w:tr>
      <w:tr>
        <w:trPr>
          <w:cantSplit w:val="0"/>
          <w:tblHeader w:val="0"/>
        </w:trPr>
        <w:tc>
          <w:tcPr>
            <w:vAlign w:val="top"/>
          </w:tcPr>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figurę symetryczną z zadanymi osiami symetrii</w:t>
            </w:r>
          </w:p>
        </w:tc>
      </w:tr>
      <w:tr>
        <w:trPr>
          <w:cantSplit w:val="0"/>
          <w:tblHeader w:val="0"/>
        </w:trPr>
        <w:tc>
          <w:tcP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dobiera skalę do narysowanych przedmiotów</w:t>
            </w:r>
          </w:p>
        </w:tc>
      </w:tr>
      <w:tr>
        <w:trPr>
          <w:cantSplit w:val="0"/>
          <w:tblHeader w:val="0"/>
        </w:trPr>
        <w:tc>
          <w:tcPr>
            <w:vAlign w:val="top"/>
          </w:tcPr>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wyznacza rzeczywistą odległość między obiektami na planie i na mapie, posługując się skalą mianowaną i liczbową</w:t>
            </w:r>
          </w:p>
        </w:tc>
      </w:tr>
    </w:tbl>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 – Ułamki zwykłe</w:t>
        <w:tab/>
      </w: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1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i nazywa: licznik, mianownik, kreskę ułamkową</w:t>
            </w:r>
          </w:p>
        </w:tc>
      </w:tr>
      <w:tr>
        <w:trPr>
          <w:cantSplit w:val="0"/>
          <w:tblHeader w:val="0"/>
        </w:trPr>
        <w:tc>
          <w:tcPr>
            <w:vAlign w:val="top"/>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 zapisuje ułamki zwykłe (słownie i cyframi)</w:t>
            </w:r>
          </w:p>
        </w:tc>
      </w:tr>
      <w:tr>
        <w:trPr>
          <w:cantSplit w:val="0"/>
          <w:tblHeader w:val="0"/>
        </w:trPr>
        <w:tc>
          <w:tcPr>
            <w:vAlign w:val="top"/>
          </w:tcPr>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zwykłe o jednakowych mianownikach</w:t>
            </w:r>
          </w:p>
        </w:tc>
      </w:tr>
      <w:tr>
        <w:trPr>
          <w:cantSplit w:val="0"/>
          <w:tblHeader w:val="0"/>
        </w:trPr>
        <w:tc>
          <w:tcP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przedstawia ułamek właściwy w postaci ilorazu</w:t>
            </w:r>
          </w:p>
        </w:tc>
      </w:tr>
      <w:tr>
        <w:trPr>
          <w:cantSplit w:val="0"/>
          <w:tblHeader w:val="0"/>
        </w:trPr>
        <w:tc>
          <w:tcP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zapisuje iloraz w postaci ułamka zwykłego</w:t>
            </w:r>
          </w:p>
        </w:tc>
      </w:tr>
      <w:tr>
        <w:trPr>
          <w:cantSplit w:val="0"/>
          <w:tblHeader w:val="0"/>
        </w:trPr>
        <w:tc>
          <w:tcP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rozszerza i skraca ułamek zwykły przez podaną liczbę</w:t>
            </w:r>
          </w:p>
        </w:tc>
      </w:tr>
      <w:tr>
        <w:trPr>
          <w:cantSplit w:val="0"/>
          <w:tblHeader w:val="0"/>
        </w:trPr>
        <w:tc>
          <w:tcP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tc>
        <w:tc>
          <w:tcPr>
            <w:vAlign w:val="top"/>
          </w:tcPr>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zwykłe o jednakowych mianownikach bez przekraczania jedności</w:t>
            </w:r>
          </w:p>
        </w:tc>
      </w:tr>
    </w:tbl>
    <w:p w:rsidR="00000000" w:rsidDel="00000000" w:rsidP="00000000" w:rsidRDefault="00000000" w:rsidRPr="00000000" w14:paraId="000001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ułamki niewłaściwe na liczby mieszane</w:t>
            </w:r>
          </w:p>
        </w:tc>
      </w:tr>
      <w:tr>
        <w:trPr>
          <w:cantSplit w:val="0"/>
          <w:tblHeader w:val="0"/>
        </w:trPr>
        <w:tc>
          <w:tcP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liczby mieszane na ułamki niewłaściwe</w:t>
            </w:r>
          </w:p>
        </w:tc>
      </w:tr>
      <w:tr>
        <w:trPr>
          <w:cantSplit w:val="0"/>
          <w:tblHeader w:val="0"/>
        </w:trPr>
        <w:tc>
          <w:tcPr>
            <w:vAlign w:val="top"/>
          </w:tcPr>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ułamki zwykłe do całości</w:t>
            </w:r>
          </w:p>
        </w:tc>
      </w:tr>
      <w:tr>
        <w:trPr>
          <w:cantSplit w:val="0"/>
          <w:tblHeader w:val="0"/>
        </w:trPr>
        <w:tc>
          <w:tcP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odejmuje ułamki zwykłe od całości</w:t>
            </w:r>
          </w:p>
        </w:tc>
      </w:tr>
      <w:tr>
        <w:trPr>
          <w:cantSplit w:val="0"/>
          <w:tblHeader w:val="0"/>
        </w:trPr>
        <w:tc>
          <w:tcP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dodawania i z zastosowaniem odejmowania ułamków zwykłych o jednakowych mianownikach</w:t>
            </w:r>
          </w:p>
        </w:tc>
      </w:tr>
      <w:tr>
        <w:trPr>
          <w:cantSplit w:val="0"/>
          <w:tblHeader w:val="0"/>
        </w:trPr>
        <w:tc>
          <w:tcPr>
            <w:vAlign w:val="top"/>
          </w:tcPr>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ułamek zwykły przez liczbę naturalną bez przekraczania jedności</w:t>
            </w:r>
          </w:p>
        </w:tc>
      </w:tr>
    </w:tbl>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19"/>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na osi liczbowej ułamki zwykłe</w:t>
            </w:r>
          </w:p>
        </w:tc>
      </w:tr>
      <w:tr>
        <w:trPr>
          <w:cantSplit w:val="0"/>
          <w:tblHeader w:val="0"/>
        </w:trPr>
        <w:tc>
          <w:tcPr>
            <w:vAlign w:val="top"/>
          </w:tcPr>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lub odejmuje liczby mieszane o takich samych mianownikach</w:t>
            </w:r>
          </w:p>
        </w:tc>
      </w:tr>
      <w:tr>
        <w:trPr>
          <w:cantSplit w:val="0"/>
          <w:tblHeader w:val="0"/>
        </w:trPr>
        <w:tc>
          <w:tcP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zwykłe o takich samych licznikach</w:t>
            </w:r>
          </w:p>
        </w:tc>
      </w:tr>
      <w:tr>
        <w:trPr>
          <w:cantSplit w:val="0"/>
          <w:tblHeader w:val="0"/>
        </w:trPr>
        <w:tc>
          <w:tcP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wykorzystując rozszerzanie i skracanie ułamków zwykłych</w:t>
            </w:r>
          </w:p>
        </w:tc>
      </w:tr>
      <w:tr>
        <w:trPr>
          <w:cantSplit w:val="0"/>
          <w:tblHeader w:val="0"/>
        </w:trPr>
        <w:tc>
          <w:tcPr>
            <w:vAlign w:val="top"/>
          </w:tcPr>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dodawania i odejmowania ułamków zwykłych o jednakowych</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mianownikach oraz mnożenia ułamków zwykłych przez liczby naturalne</w:t>
            </w:r>
          </w:p>
        </w:tc>
      </w:tr>
    </w:tbl>
    <w:p w:rsidR="00000000" w:rsidDel="00000000" w:rsidP="00000000" w:rsidRDefault="00000000" w:rsidRPr="00000000" w14:paraId="000001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0"/>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liczby mieszane i ułamki niewłaściwe</w:t>
            </w:r>
          </w:p>
        </w:tc>
      </w:tr>
      <w:tr>
        <w:trPr>
          <w:cantSplit w:val="0"/>
          <w:tblHeader w:val="0"/>
        </w:trPr>
        <w:tc>
          <w:tcPr>
            <w:vAlign w:val="top"/>
          </w:tcPr>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doprowadza ułamki do postaci nieskracalnej</w:t>
            </w:r>
          </w:p>
        </w:tc>
      </w:tr>
    </w:tbl>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 – Ułamki dziesiętne</w:t>
      </w:r>
      <w:r w:rsidDel="00000000" w:rsidR="00000000" w:rsidRPr="00000000">
        <w:rPr>
          <w:rtl w:val="0"/>
        </w:rPr>
      </w:r>
    </w:p>
    <w:p w:rsidR="00000000" w:rsidDel="00000000" w:rsidP="00000000" w:rsidRDefault="00000000" w:rsidRPr="00000000" w14:paraId="000001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1"/>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odczytuje i zapisuje ułamek dziesiętny</w:t>
            </w:r>
          </w:p>
        </w:tc>
      </w:tr>
      <w:tr>
        <w:trPr>
          <w:cantSplit w:val="0"/>
          <w:tblHeader w:val="0"/>
        </w:trPr>
        <w:tc>
          <w:tcPr>
            <w:vAlign w:val="top"/>
          </w:tcPr>
          <w:p w:rsidR="00000000" w:rsidDel="00000000" w:rsidP="00000000" w:rsidRDefault="00000000" w:rsidRPr="00000000" w14:paraId="000001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dziesiętne sposobem pisemnym – proste przypadki</w:t>
            </w:r>
          </w:p>
        </w:tc>
      </w:tr>
      <w:tr>
        <w:trPr>
          <w:cantSplit w:val="0"/>
          <w:tblHeader w:val="0"/>
        </w:trPr>
        <w:tc>
          <w:tcPr>
            <w:vAlign w:val="top"/>
          </w:tcPr>
          <w:p w:rsidR="00000000" w:rsidDel="00000000" w:rsidP="00000000" w:rsidRDefault="00000000" w:rsidRPr="00000000" w14:paraId="000001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D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dziesiętne w pamięci – proste przypadki</w:t>
            </w:r>
          </w:p>
        </w:tc>
      </w:tr>
      <w:tr>
        <w:trPr>
          <w:cantSplit w:val="0"/>
          <w:tblHeader w:val="0"/>
        </w:trPr>
        <w:tc>
          <w:tcPr>
            <w:vAlign w:val="top"/>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ułamki dziesiętne przez 10, 100, 1000 – proste przypadki (bez dopisywania dodatkowych zer)</w:t>
            </w:r>
          </w:p>
        </w:tc>
      </w:tr>
    </w:tbl>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2"/>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ułamki dziesiętne</w:t>
            </w:r>
          </w:p>
        </w:tc>
      </w:tr>
      <w:tr>
        <w:trPr>
          <w:cantSplit w:val="0"/>
          <w:tblHeader w:val="0"/>
        </w:trPr>
        <w:tc>
          <w:tcPr>
            <w:vAlign w:val="top"/>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dodaje i odejmuje ułamki dziesiętne sposobem pisemnym</w:t>
            </w:r>
          </w:p>
        </w:tc>
      </w:tr>
      <w:tr>
        <w:trPr>
          <w:cantSplit w:val="0"/>
          <w:tblHeader w:val="0"/>
        </w:trPr>
        <w:tc>
          <w:tcPr>
            <w:vAlign w:val="top"/>
          </w:tcPr>
          <w:p w:rsidR="00000000" w:rsidDel="00000000" w:rsidP="00000000" w:rsidRDefault="00000000" w:rsidRPr="00000000" w14:paraId="000001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mnoży i dzieli ułamki dziesiętne przez 10, 100, 1000 (z dopisywaniem dodatkowych zer)</w:t>
            </w:r>
          </w:p>
        </w:tc>
      </w:tr>
      <w:tr>
        <w:trPr>
          <w:cantSplit w:val="0"/>
          <w:tblHeader w:val="0"/>
        </w:trPr>
        <w:tc>
          <w:tcPr>
            <w:vAlign w:val="top"/>
          </w:tcPr>
          <w:p w:rsidR="00000000" w:rsidDel="00000000" w:rsidP="00000000" w:rsidRDefault="00000000" w:rsidRPr="00000000" w14:paraId="000001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ułamek dziesiętny na ułamek zwykły (liczbę mieszaną), a ułamek zwykły (liczbę mieszaną) na ułamek dziesiętny – proste przypadki</w:t>
            </w:r>
          </w:p>
        </w:tc>
      </w:tr>
      <w:tr>
        <w:trPr>
          <w:cantSplit w:val="0"/>
          <w:tblHeader w:val="0"/>
        </w:trPr>
        <w:tc>
          <w:tcP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dodawania i odejmowania ułamków</w:t>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dziesiętnych</w:t>
            </w:r>
          </w:p>
        </w:tc>
      </w:tr>
      <w:tr>
        <w:trPr>
          <w:cantSplit w:val="0"/>
          <w:tblHeader w:val="0"/>
        </w:trPr>
        <w:tc>
          <w:tcPr>
            <w:vAlign w:val="top"/>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1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mnożenia i dzielenia ułamków dziesiętnych przez 10, 100, 1000</w:t>
            </w:r>
          </w:p>
        </w:tc>
      </w:tr>
    </w:tbl>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3"/>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zaznacza na osi liczbowej ułamki dziesiętne</w:t>
            </w:r>
          </w:p>
        </w:tc>
      </w:tr>
      <w:tr>
        <w:trPr>
          <w:cantSplit w:val="0"/>
          <w:tblHeader w:val="0"/>
        </w:trPr>
        <w:tc>
          <w:tcPr>
            <w:vAlign w:val="top"/>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porządkuje ułamki dziesiętne według podanych kryteriów</w:t>
            </w:r>
          </w:p>
        </w:tc>
      </w:tr>
      <w:tr>
        <w:trPr>
          <w:cantSplit w:val="0"/>
          <w:tblHeader w:val="0"/>
        </w:trPr>
        <w:tc>
          <w:tcP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dodawania i odejmowania ułamków dziesiętnych</w:t>
            </w:r>
          </w:p>
        </w:tc>
      </w:tr>
      <w:tr>
        <w:trPr>
          <w:cantSplit w:val="0"/>
          <w:tblHeader w:val="0"/>
        </w:trPr>
        <w:tc>
          <w:tcPr>
            <w:vAlign w:val="top"/>
          </w:tcPr>
          <w:p w:rsidR="00000000" w:rsidDel="00000000" w:rsidP="00000000" w:rsidRDefault="00000000" w:rsidRPr="00000000" w14:paraId="000001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z zastosowaniem mnożenia i dzielenia ułamków dziesiętnych przez 10, 100, 1000</w:t>
            </w:r>
          </w:p>
        </w:tc>
      </w:tr>
      <w:tr>
        <w:trPr>
          <w:cantSplit w:val="0"/>
          <w:tblHeader w:val="0"/>
        </w:trPr>
        <w:tc>
          <w:tcPr>
            <w:vAlign w:val="top"/>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1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jednostki długości i masy z wykorzystaniem ułamków dziesiętnych</w:t>
            </w:r>
          </w:p>
        </w:tc>
      </w:tr>
    </w:tbl>
    <w:p w:rsidR="00000000" w:rsidDel="00000000" w:rsidP="00000000" w:rsidRDefault="00000000" w:rsidRPr="00000000" w14:paraId="000001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4"/>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1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zamienia ułamki zwykłe (liczby mieszane) na ułamki dziesiętne metodą rozszerzania</w:t>
            </w:r>
          </w:p>
        </w:tc>
      </w:tr>
      <w:tr>
        <w:trPr>
          <w:cantSplit w:val="0"/>
          <w:tblHeader w:val="0"/>
        </w:trPr>
        <w:tc>
          <w:tcPr>
            <w:vAlign w:val="top"/>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z zastosowaniem zamiany ułamków</w:t>
            </w:r>
          </w:p>
        </w:tc>
      </w:tr>
      <w:tr>
        <w:trPr>
          <w:cantSplit w:val="0"/>
          <w:tblHeader w:val="0"/>
        </w:trPr>
        <w:tc>
          <w:tcP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nietypowe zadania z zastosowaniem dodawania i odejmowania ułamków dziesiętnych</w:t>
            </w:r>
          </w:p>
        </w:tc>
      </w:tr>
    </w:tbl>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Dział VII – Figury geometryczne – część 2</w:t>
      </w: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dopuszczającą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5"/>
        <w:tblW w:w="9250.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2"/>
        <w:gridCol w:w="8798"/>
        <w:tblGridChange w:id="0">
          <w:tblGrid>
            <w:gridCol w:w="452"/>
            <w:gridCol w:w="8798"/>
          </w:tblGrid>
        </w:tblGridChange>
      </w:tblGrid>
      <w:tr>
        <w:trPr>
          <w:cantSplit w:val="0"/>
          <w:tblHeader w:val="0"/>
        </w:trPr>
        <w:tc>
          <w:tcPr>
            <w:vAlign w:val="top"/>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i porównuje pola figur za pomocą kwadratów jednostkowych</w:t>
            </w:r>
          </w:p>
        </w:tc>
      </w:tr>
      <w:tr>
        <w:trPr>
          <w:cantSplit w:val="0"/>
          <w:tblHeader w:val="0"/>
        </w:trPr>
        <w:tc>
          <w:tcP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wymienia podstawowe jednostki pola</w:t>
            </w:r>
          </w:p>
        </w:tc>
      </w:tr>
      <w:tr>
        <w:trPr>
          <w:cantSplit w:val="0"/>
          <w:tblHeader w:val="0"/>
        </w:trPr>
        <w:tc>
          <w:tcPr>
            <w:vAlign w:val="top"/>
          </w:tcPr>
          <w:p w:rsidR="00000000" w:rsidDel="00000000" w:rsidP="00000000" w:rsidRDefault="00000000" w:rsidRPr="00000000" w14:paraId="000002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wskazuje przedmioty, które mają kształt: prostopadłościanu, sześcianu, graniastosłupa, walca, stożka, kuli</w:t>
            </w:r>
          </w:p>
        </w:tc>
      </w:tr>
      <w:tr>
        <w:trPr>
          <w:cantSplit w:val="0"/>
          <w:tblHeader w:val="0"/>
        </w:trPr>
        <w:tc>
          <w:tcPr>
            <w:vAlign w:val="top"/>
          </w:tcPr>
          <w:p w:rsidR="00000000" w:rsidDel="00000000" w:rsidP="00000000" w:rsidRDefault="00000000" w:rsidRPr="00000000" w14:paraId="000002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wymienia podstawowe jednostki objętości</w:t>
            </w:r>
          </w:p>
        </w:tc>
      </w:tr>
    </w:tbl>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dostateczną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6"/>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 i kwadratu, których wymiary są wyrażone tą samą jednostką</w:t>
            </w:r>
          </w:p>
        </w:tc>
      </w:tr>
      <w:tr>
        <w:trPr>
          <w:cantSplit w:val="0"/>
          <w:tblHeader w:val="0"/>
        </w:trPr>
        <w:tc>
          <w:tcPr>
            <w:vAlign w:val="top"/>
          </w:tcPr>
          <w:p w:rsidR="00000000" w:rsidDel="00000000" w:rsidP="00000000" w:rsidRDefault="00000000" w:rsidRPr="00000000" w14:paraId="000002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elementarne zadania tekstowe z zastosowaniem obliczania pola i obwodu prostokąta</w:t>
            </w:r>
          </w:p>
        </w:tc>
      </w:tr>
      <w:tr>
        <w:trPr>
          <w:cantSplit w:val="0"/>
          <w:tblHeader w:val="0"/>
        </w:trPr>
        <w:tc>
          <w:tcP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opisuje prostopadłościan i sześcian, wskazując wierzchołki, krawędzie, ściany</w:t>
            </w:r>
          </w:p>
        </w:tc>
      </w:tr>
      <w:tr>
        <w:trPr>
          <w:cantSplit w:val="0"/>
          <w:tblHeader w:val="0"/>
        </w:trPr>
        <w:tc>
          <w:tcPr>
            <w:vAlign w:val="top"/>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opisuje graniastosłup, wskazując ściany boczne, podstawy, krawędzie, wierzchołki</w:t>
            </w:r>
          </w:p>
        </w:tc>
      </w:tr>
      <w:tr>
        <w:trPr>
          <w:cantSplit w:val="0"/>
          <w:tblHeader w:val="0"/>
        </w:trPr>
        <w:tc>
          <w:tcPr>
            <w:vAlign w:val="top"/>
          </w:tcPr>
          <w:p w:rsidR="00000000" w:rsidDel="00000000" w:rsidP="00000000" w:rsidRDefault="00000000" w:rsidRPr="00000000" w14:paraId="000002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mierzy objętość sześcianu sześcianem jednostkowym</w:t>
            </w:r>
          </w:p>
        </w:tc>
      </w:tr>
    </w:tb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w:t>
      </w:r>
    </w:p>
    <w:tbl>
      <w:tblPr>
        <w:tblStyle w:val="Table27"/>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pole prostokąta, którego wymiary podano w różnych jednostkach</w:t>
            </w:r>
          </w:p>
        </w:tc>
      </w:tr>
      <w:tr>
        <w:trPr>
          <w:cantSplit w:val="0"/>
          <w:tblHeader w:val="0"/>
        </w:trPr>
        <w:tc>
          <w:tcPr>
            <w:vAlign w:val="top"/>
          </w:tcPr>
          <w:p w:rsidR="00000000" w:rsidDel="00000000" w:rsidP="00000000" w:rsidRDefault="00000000" w:rsidRPr="00000000" w14:paraId="000002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szacuje wymiary oraz pole powierzchni określonych obiektów</w:t>
            </w:r>
          </w:p>
        </w:tc>
      </w:tr>
      <w:tr>
        <w:trPr>
          <w:cantSplit w:val="0"/>
          <w:tblHeader w:val="0"/>
        </w:trPr>
        <w:tc>
          <w:tcP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figurę o danym polu</w:t>
            </w:r>
          </w:p>
        </w:tc>
      </w:tr>
      <w:tr>
        <w:trPr>
          <w:cantSplit w:val="0"/>
          <w:tblHeader w:val="0"/>
        </w:trPr>
        <w:tc>
          <w:tcPr>
            <w:vAlign w:val="top"/>
          </w:tcPr>
          <w:p w:rsidR="00000000" w:rsidDel="00000000" w:rsidP="00000000" w:rsidRDefault="00000000" w:rsidRPr="00000000" w14:paraId="000002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rzut sześcianu</w:t>
            </w:r>
          </w:p>
        </w:tc>
      </w:tr>
    </w:tbl>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Uczeń otrzymuje ocenę </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bardzo dobrą</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jeśli: </w:t>
      </w:r>
    </w:p>
    <w:tbl>
      <w:tblPr>
        <w:tblStyle w:val="Table28"/>
        <w:tblW w:w="9307.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4"/>
        <w:gridCol w:w="8853"/>
        <w:tblGridChange w:id="0">
          <w:tblGrid>
            <w:gridCol w:w="454"/>
            <w:gridCol w:w="8853"/>
          </w:tblGrid>
        </w:tblGridChange>
      </w:tblGrid>
      <w:tr>
        <w:trPr>
          <w:cantSplit w:val="0"/>
          <w:tblHeader w:val="0"/>
        </w:trPr>
        <w:tc>
          <w:tcP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207" w:right="19" w:hanging="207"/>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tc>
        <w:tc>
          <w:tcPr>
            <w:vAlign w:val="top"/>
          </w:tcPr>
          <w:p w:rsidR="00000000" w:rsidDel="00000000" w:rsidP="00000000" w:rsidRDefault="00000000" w:rsidRPr="00000000" w14:paraId="000002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oblicza obwód kwadratu przy danym polu</w:t>
            </w:r>
          </w:p>
        </w:tc>
      </w:tr>
      <w:tr>
        <w:trPr>
          <w:cantSplit w:val="0"/>
          <w:tblHeader w:val="0"/>
        </w:trPr>
        <w:tc>
          <w:tcPr>
            <w:vAlign w:val="top"/>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tc>
        <w:tc>
          <w:tcPr>
            <w:vAlign w:val="top"/>
          </w:tcPr>
          <w:p w:rsidR="00000000" w:rsidDel="00000000" w:rsidP="00000000" w:rsidRDefault="00000000" w:rsidRPr="00000000" w14:paraId="000002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wymagające obliczenia pola kwadratu lub prostokąta</w:t>
            </w:r>
          </w:p>
        </w:tc>
      </w:tr>
      <w:tr>
        <w:trPr>
          <w:cantSplit w:val="0"/>
          <w:tblHeader w:val="0"/>
        </w:trPr>
        <w:tc>
          <w:tcPr>
            <w:vAlign w:val="top"/>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tc>
        <w:tc>
          <w:tcPr>
            <w:vAlign w:val="top"/>
          </w:tcPr>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rysuje rzut prostopadłościanu i graniastosłupa</w:t>
            </w:r>
          </w:p>
        </w:tc>
      </w:tr>
      <w:tr>
        <w:trPr>
          <w:cantSplit w:val="0"/>
          <w:tblHeader w:val="0"/>
        </w:trPr>
        <w:tc>
          <w:tcPr>
            <w:vAlign w:val="top"/>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tc>
        <w:tc>
          <w:tcPr>
            <w:vAlign w:val="top"/>
          </w:tcPr>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określa objętość prostopadłościanu za pomocą sześcianów jednostkowych</w:t>
            </w:r>
          </w:p>
        </w:tc>
      </w:tr>
      <w:tr>
        <w:trPr>
          <w:cantSplit w:val="0"/>
          <w:tblHeader w:val="0"/>
        </w:trPr>
        <w:tc>
          <w:tcPr>
            <w:vAlign w:val="top"/>
          </w:tcPr>
          <w:p w:rsidR="00000000" w:rsidDel="00000000" w:rsidP="00000000" w:rsidRDefault="00000000" w:rsidRPr="00000000" w14:paraId="000002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tc>
        <w:tc>
          <w:tcPr>
            <w:vAlign w:val="top"/>
          </w:tcPr>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rozwiązuje zadania tekstowe wymagające wyznaczenia objętości brył zbudowanych z sześcianów</w:t>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jednostkowych</w:t>
            </w:r>
          </w:p>
        </w:tc>
      </w:tr>
      <w:tr>
        <w:trPr>
          <w:cantSplit w:val="0"/>
          <w:tblHeader w:val="0"/>
        </w:trPr>
        <w:tc>
          <w:tcPr>
            <w:vAlign w:val="top"/>
          </w:tcPr>
          <w:p w:rsidR="00000000" w:rsidDel="00000000" w:rsidP="00000000" w:rsidRDefault="00000000" w:rsidRPr="00000000" w14:paraId="000002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0" w:right="19"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tc>
        <w:tc>
          <w:tcPr>
            <w:vAlign w:val="top"/>
          </w:tcPr>
          <w:p w:rsidR="00000000" w:rsidDel="00000000" w:rsidP="00000000" w:rsidRDefault="00000000" w:rsidRPr="00000000" w14:paraId="000002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porównuje własności graniastosłupa z własnościami ostrosłupa</w:t>
            </w:r>
          </w:p>
        </w:tc>
      </w:tr>
    </w:tbl>
    <w:p w:rsidR="00000000" w:rsidDel="00000000" w:rsidP="00000000" w:rsidRDefault="00000000" w:rsidRPr="00000000" w14:paraId="000002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0"/>
          <w:i w:val="0"/>
          <w:smallCaps w:val="0"/>
          <w:strike w:val="0"/>
          <w:color w:val="002060"/>
          <w:sz w:val="20"/>
          <w:szCs w:val="20"/>
          <w:u w:val="none"/>
          <w:shd w:fill="auto" w:val="clear"/>
          <w:vertAlign w:val="baseline"/>
        </w:rPr>
      </w:pPr>
      <w:r w:rsidDel="00000000" w:rsidR="00000000" w:rsidRPr="00000000">
        <w:rPr>
          <w:rtl w:val="0"/>
        </w:rPr>
      </w:r>
    </w:p>
    <w:sectPr>
      <w:footerReference r:id="rId8" w:type="default"/>
      <w:pgSz w:h="16838" w:w="11906" w:orient="portrait"/>
      <w:pgMar w:bottom="1276" w:top="1276" w:left="1417" w:right="1417" w:header="708" w:footer="26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ambr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Copyright by Nowa Era Sp. z o.o.</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284" w:hanging="284"/>
      </w:pPr>
      <w:rPr>
        <w:b w:val="1"/>
        <w:sz w:val="20"/>
        <w:szCs w:val="2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3"/>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upperRoman"/>
      <w:lvlText w:val="%1."/>
      <w:lvlJc w:val="left"/>
      <w:pPr>
        <w:ind w:left="720" w:hanging="360"/>
      </w:pPr>
      <w:rPr>
        <w:rFonts w:ascii="Cambria" w:cs="Cambria" w:eastAsia="Cambria" w:hAnsi="Cambria"/>
        <w:sz w:val="26"/>
        <w:szCs w:val="26"/>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70.0" w:type="dxa"/>
        <w:bottom w:w="0.0" w:type="dxa"/>
        <w:right w:w="70.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70.0" w:type="dxa"/>
        <w:bottom w:w="0.0" w:type="dxa"/>
        <w:right w:w="70.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70.0" w:type="dxa"/>
        <w:bottom w:w="0.0" w:type="dxa"/>
        <w:right w:w="70.0" w:type="dxa"/>
      </w:tblCellMar>
    </w:tblPr>
  </w:style>
  <w:style w:type="table" w:styleId="Table12">
    <w:basedOn w:val="TableNormal"/>
    <w:tblPr>
      <w:tblStyleRowBandSize w:val="1"/>
      <w:tblStyleColBandSize w:val="1"/>
      <w:tblCellMar>
        <w:top w:w="0.0" w:type="dxa"/>
        <w:left w:w="70.0" w:type="dxa"/>
        <w:bottom w:w="0.0" w:type="dxa"/>
        <w:right w:w="70.0" w:type="dxa"/>
      </w:tblCellMar>
    </w:tblPr>
  </w:style>
  <w:style w:type="table" w:styleId="Table13">
    <w:basedOn w:val="TableNormal"/>
    <w:tblPr>
      <w:tblStyleRowBandSize w:val="1"/>
      <w:tblStyleColBandSize w:val="1"/>
      <w:tblCellMar>
        <w:top w:w="0.0" w:type="dxa"/>
        <w:left w:w="70.0" w:type="dxa"/>
        <w:bottom w:w="0.0" w:type="dxa"/>
        <w:right w:w="70.0" w:type="dxa"/>
      </w:tblCellMar>
    </w:tblPr>
  </w:style>
  <w:style w:type="table" w:styleId="Table14">
    <w:basedOn w:val="TableNormal"/>
    <w:tblPr>
      <w:tblStyleRowBandSize w:val="1"/>
      <w:tblStyleColBandSize w:val="1"/>
      <w:tblCellMar>
        <w:top w:w="0.0" w:type="dxa"/>
        <w:left w:w="70.0" w:type="dxa"/>
        <w:bottom w:w="0.0" w:type="dxa"/>
        <w:right w:w="70.0" w:type="dxa"/>
      </w:tblCellMar>
    </w:tblPr>
  </w:style>
  <w:style w:type="table" w:styleId="Table15">
    <w:basedOn w:val="TableNormal"/>
    <w:tblPr>
      <w:tblStyleRowBandSize w:val="1"/>
      <w:tblStyleColBandSize w:val="1"/>
      <w:tblCellMar>
        <w:top w:w="0.0" w:type="dxa"/>
        <w:left w:w="70.0" w:type="dxa"/>
        <w:bottom w:w="0.0" w:type="dxa"/>
        <w:right w:w="70.0" w:type="dxa"/>
      </w:tblCellMar>
    </w:tblPr>
  </w:style>
  <w:style w:type="table" w:styleId="Table16">
    <w:basedOn w:val="TableNormal"/>
    <w:tblPr>
      <w:tblStyleRowBandSize w:val="1"/>
      <w:tblStyleColBandSize w:val="1"/>
      <w:tblCellMar>
        <w:top w:w="0.0" w:type="dxa"/>
        <w:left w:w="70.0" w:type="dxa"/>
        <w:bottom w:w="0.0" w:type="dxa"/>
        <w:right w:w="70.0" w:type="dxa"/>
      </w:tblCellMar>
    </w:tblPr>
  </w:style>
  <w:style w:type="table" w:styleId="Table17">
    <w:basedOn w:val="TableNormal"/>
    <w:tblPr>
      <w:tblStyleRowBandSize w:val="1"/>
      <w:tblStyleColBandSize w:val="1"/>
      <w:tblCellMar>
        <w:top w:w="0.0" w:type="dxa"/>
        <w:left w:w="70.0" w:type="dxa"/>
        <w:bottom w:w="0.0" w:type="dxa"/>
        <w:right w:w="70.0" w:type="dxa"/>
      </w:tblCellMar>
    </w:tblPr>
  </w:style>
  <w:style w:type="table" w:styleId="Table18">
    <w:basedOn w:val="TableNormal"/>
    <w:tblPr>
      <w:tblStyleRowBandSize w:val="1"/>
      <w:tblStyleColBandSize w:val="1"/>
      <w:tblCellMar>
        <w:top w:w="0.0" w:type="dxa"/>
        <w:left w:w="70.0" w:type="dxa"/>
        <w:bottom w:w="0.0" w:type="dxa"/>
        <w:right w:w="70.0" w:type="dxa"/>
      </w:tblCellMar>
    </w:tblPr>
  </w:style>
  <w:style w:type="table" w:styleId="Table19">
    <w:basedOn w:val="TableNormal"/>
    <w:tblPr>
      <w:tblStyleRowBandSize w:val="1"/>
      <w:tblStyleColBandSize w:val="1"/>
      <w:tblCellMar>
        <w:top w:w="0.0" w:type="dxa"/>
        <w:left w:w="70.0" w:type="dxa"/>
        <w:bottom w:w="0.0" w:type="dxa"/>
        <w:right w:w="70.0" w:type="dxa"/>
      </w:tblCellMar>
    </w:tblPr>
  </w:style>
  <w:style w:type="table" w:styleId="Table20">
    <w:basedOn w:val="TableNormal"/>
    <w:tblPr>
      <w:tblStyleRowBandSize w:val="1"/>
      <w:tblStyleColBandSize w:val="1"/>
      <w:tblCellMar>
        <w:top w:w="0.0" w:type="dxa"/>
        <w:left w:w="70.0" w:type="dxa"/>
        <w:bottom w:w="0.0" w:type="dxa"/>
        <w:right w:w="70.0" w:type="dxa"/>
      </w:tblCellMar>
    </w:tblPr>
  </w:style>
  <w:style w:type="table" w:styleId="Table21">
    <w:basedOn w:val="TableNormal"/>
    <w:tblPr>
      <w:tblStyleRowBandSize w:val="1"/>
      <w:tblStyleColBandSize w:val="1"/>
      <w:tblCellMar>
        <w:top w:w="0.0" w:type="dxa"/>
        <w:left w:w="70.0" w:type="dxa"/>
        <w:bottom w:w="0.0" w:type="dxa"/>
        <w:right w:w="70.0" w:type="dxa"/>
      </w:tblCellMar>
    </w:tblPr>
  </w:style>
  <w:style w:type="table" w:styleId="Table22">
    <w:basedOn w:val="TableNormal"/>
    <w:tblPr>
      <w:tblStyleRowBandSize w:val="1"/>
      <w:tblStyleColBandSize w:val="1"/>
      <w:tblCellMar>
        <w:top w:w="0.0" w:type="dxa"/>
        <w:left w:w="70.0" w:type="dxa"/>
        <w:bottom w:w="0.0" w:type="dxa"/>
        <w:right w:w="70.0" w:type="dxa"/>
      </w:tblCellMar>
    </w:tblPr>
  </w:style>
  <w:style w:type="table" w:styleId="Table23">
    <w:basedOn w:val="TableNormal"/>
    <w:tblPr>
      <w:tblStyleRowBandSize w:val="1"/>
      <w:tblStyleColBandSize w:val="1"/>
      <w:tblCellMar>
        <w:top w:w="0.0" w:type="dxa"/>
        <w:left w:w="70.0" w:type="dxa"/>
        <w:bottom w:w="0.0" w:type="dxa"/>
        <w:right w:w="70.0" w:type="dxa"/>
      </w:tblCellMar>
    </w:tblPr>
  </w:style>
  <w:style w:type="table" w:styleId="Table24">
    <w:basedOn w:val="TableNormal"/>
    <w:tblPr>
      <w:tblStyleRowBandSize w:val="1"/>
      <w:tblStyleColBandSize w:val="1"/>
      <w:tblCellMar>
        <w:top w:w="0.0" w:type="dxa"/>
        <w:left w:w="70.0" w:type="dxa"/>
        <w:bottom w:w="0.0" w:type="dxa"/>
        <w:right w:w="70.0" w:type="dxa"/>
      </w:tblCellMar>
    </w:tblPr>
  </w:style>
  <w:style w:type="table" w:styleId="Table25">
    <w:basedOn w:val="TableNormal"/>
    <w:tblPr>
      <w:tblStyleRowBandSize w:val="1"/>
      <w:tblStyleColBandSize w:val="1"/>
      <w:tblCellMar>
        <w:top w:w="0.0" w:type="dxa"/>
        <w:left w:w="70.0" w:type="dxa"/>
        <w:bottom w:w="0.0" w:type="dxa"/>
        <w:right w:w="70.0" w:type="dxa"/>
      </w:tblCellMar>
    </w:tblPr>
  </w:style>
  <w:style w:type="table" w:styleId="Table26">
    <w:basedOn w:val="TableNormal"/>
    <w:tblPr>
      <w:tblStyleRowBandSize w:val="1"/>
      <w:tblStyleColBandSize w:val="1"/>
      <w:tblCellMar>
        <w:top w:w="0.0" w:type="dxa"/>
        <w:left w:w="70.0" w:type="dxa"/>
        <w:bottom w:w="0.0" w:type="dxa"/>
        <w:right w:w="70.0" w:type="dxa"/>
      </w:tblCellMar>
    </w:tblPr>
  </w:style>
  <w:style w:type="table" w:styleId="Table27">
    <w:basedOn w:val="TableNormal"/>
    <w:tblPr>
      <w:tblStyleRowBandSize w:val="1"/>
      <w:tblStyleColBandSize w:val="1"/>
      <w:tblCellMar>
        <w:top w:w="0.0" w:type="dxa"/>
        <w:left w:w="70.0" w:type="dxa"/>
        <w:bottom w:w="0.0" w:type="dxa"/>
        <w:right w:w="70.0" w:type="dxa"/>
      </w:tblCellMar>
    </w:tblPr>
  </w:style>
  <w:style w:type="table" w:styleId="Table28">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prawo.vulcan.edu.pl/przegdok.asp?qdatprz=22-08-2017&amp;qplikid=1#P1A6"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