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5A85" w14:textId="77777777" w:rsidR="006D174D" w:rsidRDefault="006D174D" w:rsidP="006D174D">
      <w:pPr>
        <w:pStyle w:val="Nadpis1"/>
      </w:pPr>
      <w:r>
        <w:t xml:space="preserve"> Maturitní práce a její obhajoba </w:t>
      </w:r>
    </w:p>
    <w:p w14:paraId="10E46B3F" w14:textId="1FC38517" w:rsidR="006D174D" w:rsidRDefault="006D174D" w:rsidP="006D174D">
      <w:r>
        <w:t xml:space="preserve">Téma maturitní práce si žák zvolí do 31. 10. 2023. V případě, že tak neučiní, vylosuje si z témat z nabídky určené ředitelkou školy. Termín odevzdání maturitní práce je do </w:t>
      </w:r>
      <w:r w:rsidR="00D506EB">
        <w:t>30</w:t>
      </w:r>
      <w:r>
        <w:t xml:space="preserve">. 3. 2024. Práce se odevzdává ve třech vyhotoveních. </w:t>
      </w:r>
    </w:p>
    <w:p w14:paraId="25F31BF1" w14:textId="68B4B2CE" w:rsidR="006D174D" w:rsidRDefault="006D174D" w:rsidP="006D174D">
      <w:r>
        <w:t xml:space="preserve">Způsob zpracování a pokyny k obsahu a rozsahu maturitní práce naleznete v samostatném dokumentu s názvem „POKYNY PRO ZPRACOVÁNÍ MATURITNÍCH PRACÍ“ zveřejněném na webových stránkách školy. </w:t>
      </w:r>
    </w:p>
    <w:p w14:paraId="7A83AE09" w14:textId="77777777" w:rsidR="006D174D" w:rsidRDefault="006D174D" w:rsidP="006D174D">
      <w:r>
        <w:t xml:space="preserve">Vedoucí maturitních prací: Mgr. Petr Drahoš </w:t>
      </w:r>
    </w:p>
    <w:p w14:paraId="28B88608" w14:textId="77777777" w:rsidR="006D174D" w:rsidRDefault="006D174D" w:rsidP="006D174D">
      <w:r>
        <w:t xml:space="preserve">Oponent maturitních prací: Mgr. Jaroslav Synek </w:t>
      </w:r>
    </w:p>
    <w:p w14:paraId="49FAB700" w14:textId="77777777" w:rsidR="006D174D" w:rsidRDefault="006D174D" w:rsidP="006D174D">
      <w:r>
        <w:t xml:space="preserve">Příprava k obhajobě bude trvat 15 minut. Obhajoba maturitní práce bude trvat 15 minut. </w:t>
      </w:r>
    </w:p>
    <w:p w14:paraId="324B4987" w14:textId="77777777" w:rsidR="006D174D" w:rsidRDefault="006D174D" w:rsidP="006D174D">
      <w:pPr>
        <w:pStyle w:val="Nadpis2"/>
      </w:pPr>
      <w:r>
        <w:t xml:space="preserve">Kritéria hodnocení maturitní práce </w:t>
      </w:r>
    </w:p>
    <w:p w14:paraId="0D50814F" w14:textId="77777777" w:rsidR="006D174D" w:rsidRDefault="006D174D" w:rsidP="001467D7">
      <w:r>
        <w:t xml:space="preserve">Hodnotí se tyto dílčí části práce: </w:t>
      </w:r>
    </w:p>
    <w:p w14:paraId="647D6F31" w14:textId="3BCB1098" w:rsidR="006D174D" w:rsidRDefault="006D174D" w:rsidP="006D174D">
      <w:pPr>
        <w:pStyle w:val="Odstavecseseznamem"/>
        <w:numPr>
          <w:ilvl w:val="0"/>
          <w:numId w:val="1"/>
        </w:numPr>
        <w:ind w:left="426"/>
      </w:pPr>
      <w:r>
        <w:t xml:space="preserve">Přístup ke zpracování zadaného tématu </w:t>
      </w:r>
    </w:p>
    <w:p w14:paraId="3B1F8D2F" w14:textId="0DD83DE4" w:rsidR="006D174D" w:rsidRDefault="006D174D" w:rsidP="006D174D">
      <w:pPr>
        <w:pStyle w:val="Odstavecseseznamem"/>
        <w:numPr>
          <w:ilvl w:val="0"/>
          <w:numId w:val="1"/>
        </w:numPr>
        <w:ind w:left="426"/>
      </w:pPr>
      <w:r>
        <w:t xml:space="preserve">Náročnost tématu na teoretické, praktické a aplikační znalosti </w:t>
      </w:r>
    </w:p>
    <w:p w14:paraId="44780A82" w14:textId="45BD64FE" w:rsidR="006D174D" w:rsidRDefault="006D174D" w:rsidP="006D174D">
      <w:pPr>
        <w:pStyle w:val="Odstavecseseznamem"/>
        <w:numPr>
          <w:ilvl w:val="0"/>
          <w:numId w:val="1"/>
        </w:numPr>
        <w:ind w:left="426"/>
      </w:pPr>
      <w:r>
        <w:t xml:space="preserve">Členění práce a sled výkladu </w:t>
      </w:r>
    </w:p>
    <w:p w14:paraId="4C37ED2D" w14:textId="44BA9A47" w:rsidR="006D174D" w:rsidRDefault="006D174D" w:rsidP="006D174D">
      <w:pPr>
        <w:pStyle w:val="Odstavecseseznamem"/>
        <w:numPr>
          <w:ilvl w:val="0"/>
          <w:numId w:val="1"/>
        </w:numPr>
        <w:ind w:left="426"/>
      </w:pPr>
      <w:r>
        <w:t xml:space="preserve">Použitá literatura a citace </w:t>
      </w:r>
    </w:p>
    <w:p w14:paraId="1892A9EC" w14:textId="4C71CC62" w:rsidR="006D174D" w:rsidRDefault="006D174D" w:rsidP="006D174D">
      <w:pPr>
        <w:pStyle w:val="Odstavecseseznamem"/>
        <w:numPr>
          <w:ilvl w:val="0"/>
          <w:numId w:val="1"/>
        </w:numPr>
        <w:ind w:left="426"/>
      </w:pPr>
      <w:r>
        <w:t xml:space="preserve">Vlastní přínos autora při řešení </w:t>
      </w:r>
    </w:p>
    <w:p w14:paraId="4D8D7CA7" w14:textId="299B78B0" w:rsidR="006D174D" w:rsidRDefault="006D174D" w:rsidP="006D174D">
      <w:pPr>
        <w:pStyle w:val="Odstavecseseznamem"/>
        <w:numPr>
          <w:ilvl w:val="0"/>
          <w:numId w:val="1"/>
        </w:numPr>
        <w:ind w:left="426"/>
      </w:pPr>
      <w:r>
        <w:t xml:space="preserve">Správnost a adekvátnost vyvozených závěrů </w:t>
      </w:r>
    </w:p>
    <w:p w14:paraId="47F3FC2B" w14:textId="1A682D38" w:rsidR="006D174D" w:rsidRDefault="006D174D" w:rsidP="006D174D">
      <w:pPr>
        <w:pStyle w:val="Odstavecseseznamem"/>
        <w:numPr>
          <w:ilvl w:val="0"/>
          <w:numId w:val="1"/>
        </w:numPr>
        <w:ind w:left="426"/>
      </w:pPr>
      <w:r>
        <w:t xml:space="preserve">Srozumitelnost textu, jazyková úroveň </w:t>
      </w:r>
    </w:p>
    <w:p w14:paraId="761DCDDE" w14:textId="05D012A6" w:rsidR="006D174D" w:rsidRDefault="006D174D" w:rsidP="006D174D">
      <w:pPr>
        <w:pStyle w:val="Odstavecseseznamem"/>
        <w:numPr>
          <w:ilvl w:val="0"/>
          <w:numId w:val="1"/>
        </w:numPr>
        <w:ind w:left="426"/>
      </w:pPr>
      <w:r>
        <w:t xml:space="preserve">Formální úprava </w:t>
      </w:r>
    </w:p>
    <w:p w14:paraId="3DD7C83F" w14:textId="3088A935" w:rsidR="00A82648" w:rsidRDefault="006D174D" w:rsidP="006D174D">
      <w:pPr>
        <w:pStyle w:val="Odstavecseseznamem"/>
        <w:numPr>
          <w:ilvl w:val="0"/>
          <w:numId w:val="1"/>
        </w:numPr>
        <w:ind w:left="426"/>
      </w:pPr>
      <w:r>
        <w:t>Obhajoba práce</w:t>
      </w:r>
    </w:p>
    <w:p w14:paraId="3F09A2D5" w14:textId="1E0DD614" w:rsidR="006D174D" w:rsidRDefault="006D174D" w:rsidP="006D174D">
      <w:r w:rsidRPr="006D174D">
        <w:t>V kategorii 1 – 8 lze získat 10 bodů za každou kategorii, při obhajobě práce lze získat maximálně 20 bodů. Celkem lze získat 100 bodů. Aby žák prospěl, musí získat min.</w:t>
      </w:r>
      <w:r>
        <w:t> </w:t>
      </w:r>
      <w:r w:rsidRPr="006D174D">
        <w:t>36</w:t>
      </w:r>
      <w:r>
        <w:t> </w:t>
      </w:r>
      <w:r w:rsidRPr="006D174D">
        <w:t>bodů za maturitní práci a 7 bodů za obhajobu.</w:t>
      </w:r>
    </w:p>
    <w:p w14:paraId="47704425" w14:textId="77777777" w:rsidR="006D174D" w:rsidRDefault="006D174D" w:rsidP="006D174D"/>
    <w:tbl>
      <w:tblPr>
        <w:tblStyle w:val="Mkatabulky"/>
        <w:tblW w:w="0" w:type="auto"/>
        <w:tblInd w:w="2830" w:type="dxa"/>
        <w:tblLook w:val="04A0" w:firstRow="1" w:lastRow="0" w:firstColumn="1" w:lastColumn="0" w:noHBand="0" w:noVBand="1"/>
      </w:tblPr>
      <w:tblGrid>
        <w:gridCol w:w="1413"/>
        <w:gridCol w:w="2127"/>
      </w:tblGrid>
      <w:tr w:rsidR="006D174D" w14:paraId="40C4A656" w14:textId="77777777" w:rsidTr="006D174D">
        <w:tc>
          <w:tcPr>
            <w:tcW w:w="1413" w:type="dxa"/>
          </w:tcPr>
          <w:p w14:paraId="0B36D320" w14:textId="1B3D9590" w:rsidR="006D174D" w:rsidRPr="006D174D" w:rsidRDefault="006D174D" w:rsidP="006D174D">
            <w:pPr>
              <w:rPr>
                <w:b/>
                <w:bCs/>
              </w:rPr>
            </w:pPr>
            <w:r w:rsidRPr="006D174D">
              <w:rPr>
                <w:b/>
                <w:bCs/>
              </w:rPr>
              <w:t>Body</w:t>
            </w:r>
          </w:p>
        </w:tc>
        <w:tc>
          <w:tcPr>
            <w:tcW w:w="2127" w:type="dxa"/>
          </w:tcPr>
          <w:p w14:paraId="514E37EF" w14:textId="0D677704" w:rsidR="006D174D" w:rsidRPr="006D174D" w:rsidRDefault="006D174D" w:rsidP="006D174D">
            <w:pPr>
              <w:rPr>
                <w:b/>
                <w:bCs/>
              </w:rPr>
            </w:pPr>
            <w:r w:rsidRPr="006D174D">
              <w:rPr>
                <w:b/>
                <w:bCs/>
              </w:rPr>
              <w:t>Známka</w:t>
            </w:r>
          </w:p>
        </w:tc>
      </w:tr>
      <w:tr w:rsidR="006D174D" w14:paraId="5C3E19BE" w14:textId="77777777" w:rsidTr="006D174D">
        <w:tc>
          <w:tcPr>
            <w:tcW w:w="1413" w:type="dxa"/>
          </w:tcPr>
          <w:p w14:paraId="532E1B44" w14:textId="2142CF8C" w:rsidR="006D174D" w:rsidRDefault="006D174D" w:rsidP="006D174D">
            <w:r>
              <w:t>100 - 88</w:t>
            </w:r>
          </w:p>
        </w:tc>
        <w:tc>
          <w:tcPr>
            <w:tcW w:w="2127" w:type="dxa"/>
          </w:tcPr>
          <w:p w14:paraId="2AD8DA5E" w14:textId="230E0754" w:rsidR="006D174D" w:rsidRDefault="006D174D" w:rsidP="006D174D">
            <w:r>
              <w:t>výborný</w:t>
            </w:r>
          </w:p>
        </w:tc>
      </w:tr>
      <w:tr w:rsidR="006D174D" w14:paraId="22AE173D" w14:textId="77777777" w:rsidTr="006D174D">
        <w:tc>
          <w:tcPr>
            <w:tcW w:w="1413" w:type="dxa"/>
          </w:tcPr>
          <w:p w14:paraId="556E86CF" w14:textId="10A46F47" w:rsidR="006D174D" w:rsidRDefault="006D174D" w:rsidP="006D174D">
            <w:r>
              <w:t>87 - 76</w:t>
            </w:r>
          </w:p>
        </w:tc>
        <w:tc>
          <w:tcPr>
            <w:tcW w:w="2127" w:type="dxa"/>
          </w:tcPr>
          <w:p w14:paraId="0C36858D" w14:textId="6905DA75" w:rsidR="006D174D" w:rsidRDefault="006D174D" w:rsidP="006D174D">
            <w:r>
              <w:t>chvalitebný</w:t>
            </w:r>
          </w:p>
        </w:tc>
      </w:tr>
      <w:tr w:rsidR="006D174D" w14:paraId="0B0858F7" w14:textId="77777777" w:rsidTr="006D174D">
        <w:tc>
          <w:tcPr>
            <w:tcW w:w="1413" w:type="dxa"/>
          </w:tcPr>
          <w:p w14:paraId="0BBE4EAA" w14:textId="64D26104" w:rsidR="006D174D" w:rsidRDefault="006D174D" w:rsidP="006D174D">
            <w:r>
              <w:t>75 - 56</w:t>
            </w:r>
          </w:p>
        </w:tc>
        <w:tc>
          <w:tcPr>
            <w:tcW w:w="2127" w:type="dxa"/>
          </w:tcPr>
          <w:p w14:paraId="1EDC7885" w14:textId="700BA2EB" w:rsidR="006D174D" w:rsidRDefault="006D174D" w:rsidP="006D174D">
            <w:r>
              <w:t>dobrý</w:t>
            </w:r>
          </w:p>
        </w:tc>
      </w:tr>
      <w:tr w:rsidR="006D174D" w14:paraId="7CD048EA" w14:textId="77777777" w:rsidTr="006D174D">
        <w:tc>
          <w:tcPr>
            <w:tcW w:w="1413" w:type="dxa"/>
          </w:tcPr>
          <w:p w14:paraId="5A49BC9E" w14:textId="24F256DA" w:rsidR="006D174D" w:rsidRDefault="006D174D" w:rsidP="006D174D">
            <w:r>
              <w:t>55 - 37</w:t>
            </w:r>
          </w:p>
        </w:tc>
        <w:tc>
          <w:tcPr>
            <w:tcW w:w="2127" w:type="dxa"/>
          </w:tcPr>
          <w:p w14:paraId="59D5DEC6" w14:textId="51EE1E90" w:rsidR="006D174D" w:rsidRDefault="006D174D" w:rsidP="006D174D">
            <w:r>
              <w:t>dostatečný</w:t>
            </w:r>
          </w:p>
        </w:tc>
      </w:tr>
      <w:tr w:rsidR="006D174D" w14:paraId="3AC7BD32" w14:textId="77777777" w:rsidTr="006D174D">
        <w:tc>
          <w:tcPr>
            <w:tcW w:w="1413" w:type="dxa"/>
          </w:tcPr>
          <w:p w14:paraId="5D8A23EE" w14:textId="17CCBF97" w:rsidR="006D174D" w:rsidRDefault="006D174D" w:rsidP="006D174D">
            <w:r>
              <w:t>36 - 0</w:t>
            </w:r>
          </w:p>
        </w:tc>
        <w:tc>
          <w:tcPr>
            <w:tcW w:w="2127" w:type="dxa"/>
          </w:tcPr>
          <w:p w14:paraId="17914318" w14:textId="19F5E42A" w:rsidR="006D174D" w:rsidRDefault="006D174D" w:rsidP="006D174D">
            <w:r>
              <w:t>nedostatečný</w:t>
            </w:r>
          </w:p>
        </w:tc>
      </w:tr>
    </w:tbl>
    <w:p w14:paraId="41CFF068" w14:textId="61196111" w:rsidR="006D174D" w:rsidRDefault="006D174D" w:rsidP="006D174D"/>
    <w:p w14:paraId="25ADC3AF" w14:textId="77777777" w:rsidR="006D174D" w:rsidRDefault="006D174D">
      <w:pPr>
        <w:spacing w:line="259" w:lineRule="auto"/>
        <w:jc w:val="left"/>
      </w:pPr>
      <w:r>
        <w:br w:type="page"/>
      </w:r>
    </w:p>
    <w:p w14:paraId="5EFE6945" w14:textId="42899232" w:rsidR="006D174D" w:rsidRDefault="006D174D" w:rsidP="006D174D">
      <w:pPr>
        <w:pStyle w:val="Nadpis1"/>
      </w:pPr>
      <w:r>
        <w:lastRenderedPageBreak/>
        <w:t>Zadání maturitní práce</w:t>
      </w:r>
    </w:p>
    <w:p w14:paraId="1DFA4027" w14:textId="77777777" w:rsidR="006D174D" w:rsidRDefault="006D174D" w:rsidP="006D174D"/>
    <w:p w14:paraId="7C1A3722" w14:textId="2A9129B8" w:rsidR="006D174D" w:rsidRDefault="006D174D" w:rsidP="006D174D">
      <w:r>
        <w:t>Jméno:</w:t>
      </w:r>
    </w:p>
    <w:p w14:paraId="14C217AE" w14:textId="77777777" w:rsidR="006D174D" w:rsidRDefault="006D174D" w:rsidP="006D174D">
      <w:r>
        <w:t>Téma:</w:t>
      </w:r>
    </w:p>
    <w:p w14:paraId="7513194B" w14:textId="5B466CE5" w:rsidR="006D174D" w:rsidRDefault="006D174D" w:rsidP="006D174D">
      <w:r>
        <w:t xml:space="preserve">Termín odevzdání je </w:t>
      </w:r>
      <w:r w:rsidR="00D506EB">
        <w:t>31</w:t>
      </w:r>
      <w:r>
        <w:t>. 3. 2024</w:t>
      </w:r>
    </w:p>
    <w:p w14:paraId="78BE3D17" w14:textId="6E550F3F" w:rsidR="006D174D" w:rsidRDefault="006D174D" w:rsidP="006D174D">
      <w:r>
        <w:t>Způsob zpracování a pokyny k obsahu a rozsahu maturitní práce naleznete v samostatném dokumentu s názvem „POKYNY PRO ZPRACOVÁNÍ MATURITNÍCH PRACÍ“ zveřejněném na webových stránkách školy.</w:t>
      </w:r>
    </w:p>
    <w:p w14:paraId="353A9C75" w14:textId="77777777" w:rsidR="006D174D" w:rsidRDefault="006D174D" w:rsidP="006D174D">
      <w:r>
        <w:t>Vedoucí maturitních prací: Mgr. Petr Drahoš</w:t>
      </w:r>
    </w:p>
    <w:p w14:paraId="24910D25" w14:textId="77777777" w:rsidR="006D174D" w:rsidRDefault="006D174D" w:rsidP="006D174D">
      <w:r>
        <w:t>Oponent maturitních prací: Mgr. Jaroslav Synek</w:t>
      </w:r>
    </w:p>
    <w:p w14:paraId="30F2ED32" w14:textId="6BB219B5" w:rsidR="006D174D" w:rsidRDefault="006D174D" w:rsidP="006D174D">
      <w:r>
        <w:t>Příprava k obhajobě bude trvat 15 minut. Obhajoba maturitní práce bude trvat 15 minut.</w:t>
      </w:r>
    </w:p>
    <w:p w14:paraId="42FB77A9" w14:textId="77777777" w:rsidR="006D174D" w:rsidRDefault="006D174D" w:rsidP="006D174D">
      <w:pPr>
        <w:pStyle w:val="Nadpis2"/>
      </w:pPr>
      <w:r>
        <w:t xml:space="preserve">Kritéria hodnocení maturitní práce </w:t>
      </w:r>
    </w:p>
    <w:p w14:paraId="442A7220" w14:textId="77777777" w:rsidR="006D174D" w:rsidRDefault="006D174D" w:rsidP="001467D7">
      <w:r>
        <w:t xml:space="preserve">Hodnotí se tyto dílčí části práce: </w:t>
      </w:r>
    </w:p>
    <w:p w14:paraId="2B690666" w14:textId="77777777" w:rsidR="006D174D" w:rsidRDefault="006D174D" w:rsidP="006D174D">
      <w:pPr>
        <w:pStyle w:val="Odstavecseseznamem"/>
        <w:numPr>
          <w:ilvl w:val="0"/>
          <w:numId w:val="2"/>
        </w:numPr>
        <w:ind w:left="426"/>
      </w:pPr>
      <w:r>
        <w:t xml:space="preserve">Přístup ke zpracování zadaného tématu </w:t>
      </w:r>
    </w:p>
    <w:p w14:paraId="7727498C" w14:textId="77777777" w:rsidR="006D174D" w:rsidRDefault="006D174D" w:rsidP="006D174D">
      <w:pPr>
        <w:pStyle w:val="Odstavecseseznamem"/>
        <w:numPr>
          <w:ilvl w:val="0"/>
          <w:numId w:val="2"/>
        </w:numPr>
        <w:ind w:left="426"/>
      </w:pPr>
      <w:r>
        <w:t xml:space="preserve">Náročnost tématu na teoretické, praktické a aplikační znalosti </w:t>
      </w:r>
    </w:p>
    <w:p w14:paraId="393D7F8A" w14:textId="77777777" w:rsidR="006D174D" w:rsidRDefault="006D174D" w:rsidP="006D174D">
      <w:pPr>
        <w:pStyle w:val="Odstavecseseznamem"/>
        <w:numPr>
          <w:ilvl w:val="0"/>
          <w:numId w:val="2"/>
        </w:numPr>
        <w:ind w:left="426"/>
      </w:pPr>
      <w:r>
        <w:t xml:space="preserve">Členění práce a sled výkladu </w:t>
      </w:r>
    </w:p>
    <w:p w14:paraId="07529865" w14:textId="77777777" w:rsidR="006D174D" w:rsidRDefault="006D174D" w:rsidP="006D174D">
      <w:pPr>
        <w:pStyle w:val="Odstavecseseznamem"/>
        <w:numPr>
          <w:ilvl w:val="0"/>
          <w:numId w:val="2"/>
        </w:numPr>
        <w:ind w:left="426"/>
      </w:pPr>
      <w:r>
        <w:t xml:space="preserve">Použitá literatura a citace </w:t>
      </w:r>
    </w:p>
    <w:p w14:paraId="06AD0435" w14:textId="77777777" w:rsidR="006D174D" w:rsidRDefault="006D174D" w:rsidP="006D174D">
      <w:pPr>
        <w:pStyle w:val="Odstavecseseznamem"/>
        <w:numPr>
          <w:ilvl w:val="0"/>
          <w:numId w:val="2"/>
        </w:numPr>
        <w:ind w:left="426"/>
      </w:pPr>
      <w:r>
        <w:t xml:space="preserve">Vlastní přínos autora při řešení </w:t>
      </w:r>
    </w:p>
    <w:p w14:paraId="36870A7F" w14:textId="77777777" w:rsidR="006D174D" w:rsidRDefault="006D174D" w:rsidP="006D174D">
      <w:pPr>
        <w:pStyle w:val="Odstavecseseznamem"/>
        <w:numPr>
          <w:ilvl w:val="0"/>
          <w:numId w:val="2"/>
        </w:numPr>
        <w:ind w:left="426"/>
      </w:pPr>
      <w:r>
        <w:t xml:space="preserve">Správnost a adekvátnost vyvozených závěrů </w:t>
      </w:r>
    </w:p>
    <w:p w14:paraId="75AA682D" w14:textId="77777777" w:rsidR="006D174D" w:rsidRDefault="006D174D" w:rsidP="006D174D">
      <w:pPr>
        <w:pStyle w:val="Odstavecseseznamem"/>
        <w:numPr>
          <w:ilvl w:val="0"/>
          <w:numId w:val="2"/>
        </w:numPr>
        <w:ind w:left="426"/>
      </w:pPr>
      <w:r>
        <w:t xml:space="preserve">Srozumitelnost textu, jazyková úroveň </w:t>
      </w:r>
    </w:p>
    <w:p w14:paraId="256B6F79" w14:textId="77777777" w:rsidR="006D174D" w:rsidRDefault="006D174D" w:rsidP="006D174D">
      <w:pPr>
        <w:pStyle w:val="Odstavecseseznamem"/>
        <w:numPr>
          <w:ilvl w:val="0"/>
          <w:numId w:val="2"/>
        </w:numPr>
        <w:ind w:left="426"/>
      </w:pPr>
      <w:r>
        <w:t xml:space="preserve">Formální úprava </w:t>
      </w:r>
    </w:p>
    <w:p w14:paraId="25A048CE" w14:textId="77777777" w:rsidR="006D174D" w:rsidRDefault="006D174D" w:rsidP="006D174D">
      <w:pPr>
        <w:pStyle w:val="Odstavecseseznamem"/>
        <w:numPr>
          <w:ilvl w:val="0"/>
          <w:numId w:val="2"/>
        </w:numPr>
        <w:ind w:left="426"/>
      </w:pPr>
      <w:r>
        <w:t>Obhajoba práce</w:t>
      </w:r>
    </w:p>
    <w:p w14:paraId="1115C421" w14:textId="77777777" w:rsidR="006D174D" w:rsidRDefault="006D174D" w:rsidP="006D174D">
      <w:r w:rsidRPr="006D174D">
        <w:t>V kategorii 1 – 8 lze získat 10 bodů za každou kategorii, při obhajobě práce lze získat maximálně 20 bodů. Celkem lze získat 100 bodů. Aby žák prospěl, musí získat min.</w:t>
      </w:r>
      <w:r>
        <w:t> </w:t>
      </w:r>
      <w:r w:rsidRPr="006D174D">
        <w:t>36</w:t>
      </w:r>
      <w:r>
        <w:t> </w:t>
      </w:r>
      <w:r w:rsidRPr="006D174D">
        <w:t>bodů za maturitní práci a 7 bodů za obhajobu.</w:t>
      </w:r>
    </w:p>
    <w:p w14:paraId="0B11EFCC" w14:textId="77777777" w:rsidR="006D174D" w:rsidRDefault="006D174D" w:rsidP="006D174D"/>
    <w:tbl>
      <w:tblPr>
        <w:tblStyle w:val="Mkatabulky"/>
        <w:tblW w:w="0" w:type="auto"/>
        <w:tblInd w:w="2830" w:type="dxa"/>
        <w:tblLook w:val="04A0" w:firstRow="1" w:lastRow="0" w:firstColumn="1" w:lastColumn="0" w:noHBand="0" w:noVBand="1"/>
      </w:tblPr>
      <w:tblGrid>
        <w:gridCol w:w="1413"/>
        <w:gridCol w:w="2127"/>
      </w:tblGrid>
      <w:tr w:rsidR="006D174D" w14:paraId="2755CF5A" w14:textId="77777777" w:rsidTr="00666C9F">
        <w:tc>
          <w:tcPr>
            <w:tcW w:w="1413" w:type="dxa"/>
          </w:tcPr>
          <w:p w14:paraId="4A29155D" w14:textId="77777777" w:rsidR="006D174D" w:rsidRPr="006D174D" w:rsidRDefault="006D174D" w:rsidP="00666C9F">
            <w:pPr>
              <w:rPr>
                <w:b/>
                <w:bCs/>
              </w:rPr>
            </w:pPr>
            <w:r w:rsidRPr="006D174D">
              <w:rPr>
                <w:b/>
                <w:bCs/>
              </w:rPr>
              <w:t>Body</w:t>
            </w:r>
          </w:p>
        </w:tc>
        <w:tc>
          <w:tcPr>
            <w:tcW w:w="2127" w:type="dxa"/>
          </w:tcPr>
          <w:p w14:paraId="252569BA" w14:textId="77777777" w:rsidR="006D174D" w:rsidRPr="006D174D" w:rsidRDefault="006D174D" w:rsidP="00666C9F">
            <w:pPr>
              <w:rPr>
                <w:b/>
                <w:bCs/>
              </w:rPr>
            </w:pPr>
            <w:r w:rsidRPr="006D174D">
              <w:rPr>
                <w:b/>
                <w:bCs/>
              </w:rPr>
              <w:t>Známka</w:t>
            </w:r>
          </w:p>
        </w:tc>
      </w:tr>
      <w:tr w:rsidR="006D174D" w14:paraId="563CA2E5" w14:textId="77777777" w:rsidTr="00666C9F">
        <w:tc>
          <w:tcPr>
            <w:tcW w:w="1413" w:type="dxa"/>
          </w:tcPr>
          <w:p w14:paraId="22006DD0" w14:textId="77777777" w:rsidR="006D174D" w:rsidRDefault="006D174D" w:rsidP="00666C9F">
            <w:r>
              <w:t>100 - 88</w:t>
            </w:r>
          </w:p>
        </w:tc>
        <w:tc>
          <w:tcPr>
            <w:tcW w:w="2127" w:type="dxa"/>
          </w:tcPr>
          <w:p w14:paraId="05818E4C" w14:textId="77777777" w:rsidR="006D174D" w:rsidRDefault="006D174D" w:rsidP="00666C9F">
            <w:r>
              <w:t>výborný</w:t>
            </w:r>
          </w:p>
        </w:tc>
      </w:tr>
      <w:tr w:rsidR="006D174D" w14:paraId="5D2D3187" w14:textId="77777777" w:rsidTr="00666C9F">
        <w:tc>
          <w:tcPr>
            <w:tcW w:w="1413" w:type="dxa"/>
          </w:tcPr>
          <w:p w14:paraId="6F420840" w14:textId="77777777" w:rsidR="006D174D" w:rsidRDefault="006D174D" w:rsidP="00666C9F">
            <w:r>
              <w:t>87 - 76</w:t>
            </w:r>
          </w:p>
        </w:tc>
        <w:tc>
          <w:tcPr>
            <w:tcW w:w="2127" w:type="dxa"/>
          </w:tcPr>
          <w:p w14:paraId="53437004" w14:textId="77777777" w:rsidR="006D174D" w:rsidRDefault="006D174D" w:rsidP="00666C9F">
            <w:r>
              <w:t>chvalitebný</w:t>
            </w:r>
          </w:p>
        </w:tc>
      </w:tr>
      <w:tr w:rsidR="006D174D" w14:paraId="79160A96" w14:textId="77777777" w:rsidTr="00666C9F">
        <w:tc>
          <w:tcPr>
            <w:tcW w:w="1413" w:type="dxa"/>
          </w:tcPr>
          <w:p w14:paraId="29D1ED59" w14:textId="77777777" w:rsidR="006D174D" w:rsidRDefault="006D174D" w:rsidP="00666C9F">
            <w:r>
              <w:t>75 - 56</w:t>
            </w:r>
          </w:p>
        </w:tc>
        <w:tc>
          <w:tcPr>
            <w:tcW w:w="2127" w:type="dxa"/>
          </w:tcPr>
          <w:p w14:paraId="758B38FC" w14:textId="77777777" w:rsidR="006D174D" w:rsidRDefault="006D174D" w:rsidP="00666C9F">
            <w:r>
              <w:t>dobrý</w:t>
            </w:r>
          </w:p>
        </w:tc>
      </w:tr>
      <w:tr w:rsidR="006D174D" w14:paraId="41D5BB92" w14:textId="77777777" w:rsidTr="00666C9F">
        <w:tc>
          <w:tcPr>
            <w:tcW w:w="1413" w:type="dxa"/>
          </w:tcPr>
          <w:p w14:paraId="5DA12430" w14:textId="77777777" w:rsidR="006D174D" w:rsidRDefault="006D174D" w:rsidP="00666C9F">
            <w:r>
              <w:t>55 - 37</w:t>
            </w:r>
          </w:p>
        </w:tc>
        <w:tc>
          <w:tcPr>
            <w:tcW w:w="2127" w:type="dxa"/>
          </w:tcPr>
          <w:p w14:paraId="09F61D7B" w14:textId="77777777" w:rsidR="006D174D" w:rsidRDefault="006D174D" w:rsidP="00666C9F">
            <w:r>
              <w:t>dostatečný</w:t>
            </w:r>
          </w:p>
        </w:tc>
      </w:tr>
      <w:tr w:rsidR="006D174D" w14:paraId="5E2537CE" w14:textId="77777777" w:rsidTr="00666C9F">
        <w:tc>
          <w:tcPr>
            <w:tcW w:w="1413" w:type="dxa"/>
          </w:tcPr>
          <w:p w14:paraId="3F89993F" w14:textId="77777777" w:rsidR="006D174D" w:rsidRDefault="006D174D" w:rsidP="00666C9F">
            <w:r>
              <w:t>36 - 0</w:t>
            </w:r>
          </w:p>
        </w:tc>
        <w:tc>
          <w:tcPr>
            <w:tcW w:w="2127" w:type="dxa"/>
          </w:tcPr>
          <w:p w14:paraId="1CC8CB1F" w14:textId="77777777" w:rsidR="006D174D" w:rsidRDefault="006D174D" w:rsidP="00666C9F">
            <w:r>
              <w:t>nedostatečný</w:t>
            </w:r>
          </w:p>
        </w:tc>
      </w:tr>
    </w:tbl>
    <w:p w14:paraId="54DAC7FB" w14:textId="77777777" w:rsidR="006D174D" w:rsidRDefault="006D174D" w:rsidP="006D174D"/>
    <w:p w14:paraId="6836C278" w14:textId="2D21A578" w:rsidR="006D174D" w:rsidRDefault="006D174D" w:rsidP="006D174D">
      <w:pPr>
        <w:spacing w:line="259" w:lineRule="auto"/>
        <w:jc w:val="left"/>
      </w:pPr>
    </w:p>
    <w:sectPr w:rsidR="006D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D75"/>
    <w:multiLevelType w:val="hybridMultilevel"/>
    <w:tmpl w:val="E020D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E6D"/>
    <w:multiLevelType w:val="hybridMultilevel"/>
    <w:tmpl w:val="E020D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151472">
    <w:abstractNumId w:val="0"/>
  </w:num>
  <w:num w:numId="2" w16cid:durableId="197875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4D"/>
    <w:rsid w:val="001467D7"/>
    <w:rsid w:val="006D174D"/>
    <w:rsid w:val="00A82648"/>
    <w:rsid w:val="00B06635"/>
    <w:rsid w:val="00B51399"/>
    <w:rsid w:val="00D506EB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15CB"/>
  <w15:chartTrackingRefBased/>
  <w15:docId w15:val="{4742D705-0E8D-4A1F-A41B-D6819DD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399"/>
    <w:pPr>
      <w:spacing w:line="240" w:lineRule="auto"/>
      <w:jc w:val="both"/>
    </w:pPr>
    <w:rPr>
      <w:rFonts w:ascii="Book Antiqua" w:hAnsi="Book Antiqua"/>
      <w:kern w:val="0"/>
      <w:sz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D174D"/>
    <w:pPr>
      <w:keepNext/>
      <w:keepLines/>
      <w:spacing w:before="240" w:after="0"/>
      <w:outlineLvl w:val="0"/>
    </w:pPr>
    <w:rPr>
      <w:rFonts w:eastAsiaTheme="majorEastAsia" w:cstheme="majorBidi"/>
      <w:b/>
      <w:color w:val="FF000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174D"/>
    <w:pPr>
      <w:keepNext/>
      <w:keepLines/>
      <w:spacing w:before="40" w:after="0"/>
      <w:outlineLvl w:val="1"/>
    </w:pPr>
    <w:rPr>
      <w:rFonts w:eastAsiaTheme="majorEastAsia" w:cstheme="majorBidi"/>
      <w:b/>
      <w:color w:val="FF000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174D"/>
    <w:rPr>
      <w:rFonts w:ascii="Book Antiqua" w:eastAsiaTheme="majorEastAsia" w:hAnsi="Book Antiqua" w:cstheme="majorBidi"/>
      <w:b/>
      <w:color w:val="FF0000"/>
      <w:kern w:val="0"/>
      <w:sz w:val="44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6D174D"/>
    <w:rPr>
      <w:rFonts w:ascii="Book Antiqua" w:eastAsiaTheme="majorEastAsia" w:hAnsi="Book Antiqua" w:cstheme="majorBidi"/>
      <w:b/>
      <w:color w:val="FF0000"/>
      <w:kern w:val="0"/>
      <w:sz w:val="28"/>
      <w:szCs w:val="26"/>
      <w14:ligatures w14:val="none"/>
    </w:rPr>
  </w:style>
  <w:style w:type="paragraph" w:styleId="Odstavecseseznamem">
    <w:name w:val="List Paragraph"/>
    <w:basedOn w:val="Normln"/>
    <w:uiPriority w:val="34"/>
    <w:qFormat/>
    <w:rsid w:val="006D174D"/>
    <w:pPr>
      <w:ind w:left="720"/>
      <w:contextualSpacing/>
    </w:pPr>
  </w:style>
  <w:style w:type="table" w:styleId="Mkatabulky">
    <w:name w:val="Table Grid"/>
    <w:basedOn w:val="Normlntabulka"/>
    <w:uiPriority w:val="39"/>
    <w:rsid w:val="006D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Drahoš</dc:creator>
  <cp:keywords/>
  <dc:description/>
  <cp:lastModifiedBy>Mgr. Petr Drahoš</cp:lastModifiedBy>
  <cp:revision>3</cp:revision>
  <dcterms:created xsi:type="dcterms:W3CDTF">2023-09-06T12:05:00Z</dcterms:created>
  <dcterms:modified xsi:type="dcterms:W3CDTF">2023-10-03T08:27:00Z</dcterms:modified>
</cp:coreProperties>
</file>