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70" w:rsidRDefault="00AD6B70" w:rsidP="00AD6B70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Nájomná zmluva 4-2023/24</w:t>
      </w:r>
    </w:p>
    <w:p w:rsidR="00AD6B70" w:rsidRDefault="00AD6B70" w:rsidP="00AD6B70">
      <w:pPr>
        <w:jc w:val="center"/>
        <w:rPr>
          <w:lang w:val="sk-SK"/>
        </w:rPr>
      </w:pPr>
      <w:r>
        <w:rPr>
          <w:lang w:val="sk-SK"/>
        </w:rPr>
        <w:t>o nájme nebytového priestoru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>uzatvorená v zmysle zákona č. 116/1990 Zb. o nájme a podnájme nebytových priestorov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v znení neskorších predpisov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>medzi:</w:t>
      </w:r>
    </w:p>
    <w:p w:rsidR="00AD6B70" w:rsidRDefault="00AD6B70" w:rsidP="00AD6B70">
      <w:pPr>
        <w:rPr>
          <w:lang w:val="sk-SK"/>
        </w:rPr>
      </w:pPr>
      <w:r>
        <w:rPr>
          <w:b/>
          <w:lang w:val="sk-SK"/>
        </w:rPr>
        <w:t>prenajímateľom:</w:t>
      </w:r>
      <w:r>
        <w:rPr>
          <w:lang w:val="sk-SK"/>
        </w:rPr>
        <w:t xml:space="preserve">                   MESTO ŽILINA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so sídlom MsÚ: Námestie obetí komunizmu 1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011 31 Žilina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IČO:  00 321 796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</w:t>
      </w:r>
    </w:p>
    <w:p w:rsidR="00AD6B70" w:rsidRDefault="00AD6B70" w:rsidP="00AD6B70">
      <w:pPr>
        <w:rPr>
          <w:b/>
          <w:lang w:val="sk-SK"/>
        </w:rPr>
      </w:pPr>
      <w:r>
        <w:rPr>
          <w:b/>
          <w:lang w:val="sk-SK"/>
        </w:rPr>
        <w:t>konajúci prostredníctvom</w:t>
      </w:r>
    </w:p>
    <w:p w:rsidR="00AD6B70" w:rsidRDefault="00AD6B70" w:rsidP="00AD6B70">
      <w:pPr>
        <w:rPr>
          <w:lang w:val="sk-SK"/>
        </w:rPr>
      </w:pPr>
      <w:r>
        <w:rPr>
          <w:b/>
          <w:lang w:val="sk-SK"/>
        </w:rPr>
        <w:t>správcu      :</w:t>
      </w:r>
      <w:r>
        <w:rPr>
          <w:lang w:val="sk-SK"/>
        </w:rPr>
        <w:t xml:space="preserve">                            Základná škola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so sídlom  Námestie mladosti 1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010 15 Žilina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IČO:   37815091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zastúpená: PaedDr. Janka </w:t>
      </w:r>
      <w:proofErr w:type="spellStart"/>
      <w:r>
        <w:rPr>
          <w:lang w:val="sk-SK"/>
        </w:rPr>
        <w:t>Kamenská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Halečková</w:t>
      </w:r>
      <w:proofErr w:type="spellEnd"/>
      <w:r>
        <w:rPr>
          <w:lang w:val="sk-SK"/>
        </w:rPr>
        <w:t xml:space="preserve">,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riaditeľka  školy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Bankové spojenie: PRIMA banka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>. Žilina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Číslo účtu: 0304540006/5600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</w:t>
      </w:r>
    </w:p>
    <w:p w:rsidR="00AD6B70" w:rsidRDefault="00AD6B70" w:rsidP="00AD6B70">
      <w:pPr>
        <w:jc w:val="center"/>
        <w:rPr>
          <w:lang w:val="sk-SK"/>
        </w:rPr>
      </w:pPr>
      <w:r>
        <w:rPr>
          <w:lang w:val="sk-SK"/>
        </w:rPr>
        <w:t>a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b/>
          <w:lang w:val="sk-SK"/>
        </w:rPr>
        <w:t>nájomcom:</w:t>
      </w:r>
      <w:r>
        <w:rPr>
          <w:lang w:val="sk-SK"/>
        </w:rPr>
        <w:t xml:space="preserve">                            </w:t>
      </w:r>
      <w:proofErr w:type="spellStart"/>
      <w:r>
        <w:rPr>
          <w:lang w:val="sk-SK"/>
        </w:rPr>
        <w:t>Balance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Academy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>.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Nezbudská Lúčka 76, 013 24 Strečno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IČO: 52 997 383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                                                 ďalej len nájomca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jc w:val="center"/>
        <w:rPr>
          <w:lang w:val="sk-SK"/>
        </w:rPr>
      </w:pPr>
      <w:r>
        <w:rPr>
          <w:lang w:val="sk-SK"/>
        </w:rPr>
        <w:t>Čl. I.</w:t>
      </w:r>
    </w:p>
    <w:p w:rsidR="00AD6B70" w:rsidRDefault="00AD6B70" w:rsidP="00AD6B70">
      <w:pPr>
        <w:pStyle w:val="Nadpis2"/>
        <w:jc w:val="center"/>
      </w:pPr>
      <w:r>
        <w:t>Predmet a účel nájmu</w:t>
      </w:r>
    </w:p>
    <w:p w:rsidR="00AD6B70" w:rsidRDefault="00AD6B70" w:rsidP="00AD6B70">
      <w:pPr>
        <w:rPr>
          <w:lang w:val="sk-SK"/>
        </w:rPr>
      </w:pPr>
    </w:p>
    <w:p w:rsidR="00AD6B70" w:rsidRDefault="00AD6B70" w:rsidP="004C5390">
      <w:pPr>
        <w:pStyle w:val="Zarkazkladnhotextu"/>
        <w:numPr>
          <w:ilvl w:val="0"/>
          <w:numId w:val="1"/>
        </w:numPr>
      </w:pPr>
      <w:r>
        <w:t xml:space="preserve">Predmetom nájmu je </w:t>
      </w:r>
      <w:r w:rsidR="004C5390">
        <w:t xml:space="preserve">malá trieda- trieda o rozmeroch 41 m2, v pavilóne F. </w:t>
      </w:r>
      <w:r>
        <w:t>Miestnosť sa prenajíma na</w:t>
      </w:r>
      <w:r w:rsidR="009159B9">
        <w:t xml:space="preserve"> vzdelávanie- anglický jazyk</w:t>
      </w:r>
      <w:r>
        <w:t xml:space="preserve">.  Prenajaté priestory sú súčasťou majetku zriaďovateľa, </w:t>
      </w:r>
      <w:proofErr w:type="spellStart"/>
      <w:r>
        <w:t>t.j</w:t>
      </w:r>
      <w:proofErr w:type="spellEnd"/>
      <w:r>
        <w:t>. mesta Žiliny. Základná škola, Námestie mladosti 1, Žilina je správcom zvereného majetku zapísaného na LV č. 1170 pre katastrálne územie Závodie, súpisné čísla 3467 na parcele č. 1472/209.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jc w:val="center"/>
        <w:rPr>
          <w:lang w:val="sk-SK"/>
        </w:rPr>
      </w:pPr>
      <w:r>
        <w:rPr>
          <w:lang w:val="sk-SK"/>
        </w:rPr>
        <w:t>Čl. II.</w:t>
      </w:r>
    </w:p>
    <w:p w:rsidR="00AD6B70" w:rsidRDefault="00AD6B70" w:rsidP="00AD6B70">
      <w:pPr>
        <w:pStyle w:val="Nadpis2"/>
        <w:jc w:val="center"/>
      </w:pPr>
      <w:r>
        <w:t>Doba a čas nájmu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Nájomná zmluva sa uzatvára na dobu určitú  od 7.9.2023 – 30.6.2024 -  v čase:</w:t>
      </w:r>
    </w:p>
    <w:p w:rsidR="00AD6B70" w:rsidRDefault="009159B9" w:rsidP="00AD6B70">
      <w:pPr>
        <w:rPr>
          <w:lang w:val="sk-SK"/>
        </w:rPr>
      </w:pPr>
      <w:r>
        <w:rPr>
          <w:lang w:val="sk-SK"/>
        </w:rPr>
        <w:t xml:space="preserve">      pondelok</w:t>
      </w:r>
      <w:r w:rsidR="00AD6B70">
        <w:rPr>
          <w:lang w:val="sk-SK"/>
        </w:rPr>
        <w:t xml:space="preserve">   od 1</w:t>
      </w:r>
      <w:r w:rsidR="00C94079">
        <w:rPr>
          <w:lang w:val="sk-SK"/>
        </w:rPr>
        <w:t>3,30  do 17,30</w:t>
      </w:r>
      <w:bookmarkStart w:id="0" w:name="_GoBack"/>
      <w:bookmarkEnd w:id="0"/>
      <w:r>
        <w:rPr>
          <w:lang w:val="sk-SK"/>
        </w:rPr>
        <w:t xml:space="preserve"> hod.</w:t>
      </w:r>
    </w:p>
    <w:p w:rsidR="00AD6B70" w:rsidRDefault="00AD6B70" w:rsidP="00AD6B70">
      <w:pPr>
        <w:ind w:left="360"/>
        <w:rPr>
          <w:lang w:val="sk-SK"/>
        </w:rPr>
      </w:pPr>
    </w:p>
    <w:p w:rsidR="00AD6B70" w:rsidRDefault="009159B9" w:rsidP="00AD6B70">
      <w:pPr>
        <w:rPr>
          <w:lang w:val="sk-SK"/>
        </w:rPr>
      </w:pPr>
      <w:r>
        <w:rPr>
          <w:lang w:val="sk-SK"/>
        </w:rPr>
        <w:t xml:space="preserve"> </w:t>
      </w:r>
      <w:r w:rsidR="00AD6B70">
        <w:rPr>
          <w:lang w:val="sk-SK"/>
        </w:rPr>
        <w:t xml:space="preserve">2)  Nájomná zmluva sa pravidelne obnovuje každý školský rok v čase od 1.9. do 30.6.    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lastRenderedPageBreak/>
        <w:t xml:space="preserve">      v príslušnom školskom roku.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jc w:val="center"/>
        <w:rPr>
          <w:lang w:val="sk-SK"/>
        </w:rPr>
      </w:pPr>
      <w:r>
        <w:rPr>
          <w:lang w:val="sk-SK"/>
        </w:rPr>
        <w:t>Čl. III.</w:t>
      </w:r>
    </w:p>
    <w:p w:rsidR="00AD6B70" w:rsidRDefault="00AD6B70" w:rsidP="00AD6B70">
      <w:pPr>
        <w:pStyle w:val="Nadpis2"/>
      </w:pPr>
      <w:r>
        <w:t xml:space="preserve">                                             Výška nájomného a spôsob platenia</w:t>
      </w:r>
    </w:p>
    <w:p w:rsidR="00AD6B70" w:rsidRDefault="00AD6B70" w:rsidP="00AD6B70">
      <w:pPr>
        <w:jc w:val="both"/>
        <w:rPr>
          <w:lang w:val="sk-SK"/>
        </w:rPr>
      </w:pPr>
    </w:p>
    <w:p w:rsidR="00AD6B70" w:rsidRDefault="00AD6B70" w:rsidP="00AD6B70">
      <w:pPr>
        <w:jc w:val="both"/>
        <w:rPr>
          <w:lang w:val="sk-SK"/>
        </w:rPr>
      </w:pPr>
      <w:r>
        <w:rPr>
          <w:lang w:val="sk-SK"/>
        </w:rPr>
        <w:t xml:space="preserve"> 1)Výška nájomného za prenajatý priestor je stanovená dohodou zmluvných strán  vo výške                          </w:t>
      </w:r>
    </w:p>
    <w:p w:rsidR="00AD6B70" w:rsidRDefault="00AD6B70" w:rsidP="00AD6B70">
      <w:pPr>
        <w:jc w:val="both"/>
        <w:rPr>
          <w:lang w:val="sk-SK"/>
        </w:rPr>
      </w:pPr>
      <w:r>
        <w:rPr>
          <w:lang w:val="sk-SK"/>
        </w:rPr>
        <w:t xml:space="preserve">    </w:t>
      </w:r>
      <w:r>
        <w:rPr>
          <w:b/>
          <w:lang w:val="sk-SK"/>
        </w:rPr>
        <w:t>10</w:t>
      </w:r>
      <w:r>
        <w:rPr>
          <w:b/>
          <w:bCs/>
          <w:lang w:val="sk-SK"/>
        </w:rPr>
        <w:t xml:space="preserve"> €/hodinu,</w:t>
      </w:r>
      <w:r>
        <w:rPr>
          <w:lang w:val="sk-SK"/>
        </w:rPr>
        <w:t xml:space="preserve"> z toho 80% pozostáva zo služieb, energie, vody a tepla a 20 % tvorí nájom. </w:t>
      </w:r>
    </w:p>
    <w:p w:rsidR="00AD6B70" w:rsidRDefault="00AD6B70" w:rsidP="00AD6B70">
      <w:pPr>
        <w:jc w:val="both"/>
        <w:rPr>
          <w:lang w:val="sk-SK"/>
        </w:rPr>
      </w:pPr>
      <w:r>
        <w:rPr>
          <w:lang w:val="sk-SK"/>
        </w:rPr>
        <w:t xml:space="preserve">   Celková výška faktúry bude stanovená na základe rozpisu využívania prenajatých </w:t>
      </w:r>
    </w:p>
    <w:p w:rsidR="00AD6B70" w:rsidRDefault="00AD6B70" w:rsidP="00AD6B70">
      <w:pPr>
        <w:jc w:val="both"/>
        <w:rPr>
          <w:lang w:val="sk-SK"/>
        </w:rPr>
      </w:pPr>
      <w:r>
        <w:rPr>
          <w:lang w:val="sk-SK"/>
        </w:rPr>
        <w:t xml:space="preserve">   priestorov za dané obdobie. </w:t>
      </w:r>
    </w:p>
    <w:p w:rsidR="00AD6B70" w:rsidRDefault="00AD6B70" w:rsidP="00AD6B70">
      <w:pPr>
        <w:jc w:val="both"/>
        <w:rPr>
          <w:lang w:val="sk-SK"/>
        </w:rPr>
      </w:pPr>
    </w:p>
    <w:p w:rsidR="00AD6B70" w:rsidRDefault="00AD6B70" w:rsidP="00AD6B70">
      <w:pPr>
        <w:ind w:left="120"/>
        <w:rPr>
          <w:lang w:val="sk-SK"/>
        </w:rPr>
      </w:pPr>
      <w:r>
        <w:rPr>
          <w:lang w:val="sk-SK"/>
        </w:rPr>
        <w:t xml:space="preserve">2) Nájomca sa zaväzuje uhradiť stanovenú sumu do dátumu splatnosti uvedeného na faktúre </w:t>
      </w:r>
    </w:p>
    <w:p w:rsidR="00AD6B70" w:rsidRDefault="00AD6B70" w:rsidP="00AD6B70">
      <w:pPr>
        <w:ind w:left="120"/>
        <w:rPr>
          <w:lang w:val="sk-SK"/>
        </w:rPr>
      </w:pPr>
      <w:r>
        <w:rPr>
          <w:lang w:val="sk-SK"/>
        </w:rPr>
        <w:t xml:space="preserve">   za obdobie september – december do 11.12.2023, za január – marec do 15.4.2024 a za </w:t>
      </w:r>
    </w:p>
    <w:p w:rsidR="00AD6B70" w:rsidRDefault="00AD6B70" w:rsidP="00AD6B70">
      <w:pPr>
        <w:ind w:left="120"/>
        <w:rPr>
          <w:lang w:val="sk-SK"/>
        </w:rPr>
      </w:pPr>
      <w:r>
        <w:rPr>
          <w:lang w:val="sk-SK"/>
        </w:rPr>
        <w:t xml:space="preserve">   apríl – jún do 15.7.2024 a to:</w:t>
      </w:r>
    </w:p>
    <w:p w:rsidR="00AD6B70" w:rsidRDefault="00AD6B70" w:rsidP="00AD6B70">
      <w:pPr>
        <w:ind w:left="120"/>
        <w:rPr>
          <w:lang w:val="sk-SK"/>
        </w:rPr>
      </w:pPr>
    </w:p>
    <w:p w:rsidR="00AD6B70" w:rsidRDefault="00AD6B70" w:rsidP="00AD6B70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80% z celkovej sumy  na účet  </w:t>
      </w:r>
      <w:r>
        <w:rPr>
          <w:b/>
          <w:lang w:val="sk-SK"/>
        </w:rPr>
        <w:t>SK52 5600 0000 000</w:t>
      </w:r>
      <w:r>
        <w:rPr>
          <w:b/>
          <w:bCs/>
          <w:lang w:val="sk-SK"/>
        </w:rPr>
        <w:t xml:space="preserve">3 0454 2001   </w:t>
      </w:r>
    </w:p>
    <w:p w:rsidR="00AD6B70" w:rsidRDefault="00AD6B70" w:rsidP="00AD6B70">
      <w:pPr>
        <w:numPr>
          <w:ilvl w:val="0"/>
          <w:numId w:val="3"/>
        </w:numPr>
        <w:rPr>
          <w:b/>
          <w:bCs/>
          <w:lang w:val="sk-SK"/>
        </w:rPr>
      </w:pPr>
      <w:r>
        <w:rPr>
          <w:lang w:val="sk-SK"/>
        </w:rPr>
        <w:t xml:space="preserve">20% z celkovej sumy  na účet  </w:t>
      </w:r>
      <w:r>
        <w:rPr>
          <w:b/>
          <w:lang w:val="sk-SK"/>
        </w:rPr>
        <w:t>SK82 5600 0000 00</w:t>
      </w:r>
      <w:r>
        <w:rPr>
          <w:b/>
          <w:bCs/>
          <w:lang w:val="sk-SK"/>
        </w:rPr>
        <w:t xml:space="preserve">03 0454 0006 </w:t>
      </w:r>
    </w:p>
    <w:p w:rsidR="00AD6B70" w:rsidRDefault="00AD6B70" w:rsidP="00AD6B70">
      <w:pPr>
        <w:ind w:left="1080"/>
        <w:rPr>
          <w:b/>
          <w:bCs/>
          <w:lang w:val="sk-SK"/>
        </w:rPr>
      </w:pPr>
    </w:p>
    <w:p w:rsidR="00AD6B70" w:rsidRDefault="00AD6B70" w:rsidP="00AD6B70">
      <w:pPr>
        <w:ind w:left="660"/>
        <w:rPr>
          <w:b/>
          <w:bCs/>
          <w:lang w:val="sk-SK"/>
        </w:rPr>
      </w:pPr>
      <w:r>
        <w:rPr>
          <w:lang w:val="sk-SK"/>
        </w:rPr>
        <w:t xml:space="preserve">Pri oboch úhradách je nutnosťou používať </w:t>
      </w:r>
      <w:proofErr w:type="spellStart"/>
      <w:r>
        <w:rPr>
          <w:lang w:val="sk-SK"/>
        </w:rPr>
        <w:t>špec</w:t>
      </w:r>
      <w:proofErr w:type="spellEnd"/>
      <w:r>
        <w:rPr>
          <w:lang w:val="sk-SK"/>
        </w:rPr>
        <w:t>. symbol</w:t>
      </w:r>
      <w:r w:rsidR="009159B9">
        <w:rPr>
          <w:b/>
          <w:bCs/>
          <w:lang w:val="sk-SK"/>
        </w:rPr>
        <w:t xml:space="preserve">  „BALANCEACADEMY</w:t>
      </w:r>
      <w:r>
        <w:rPr>
          <w:b/>
          <w:bCs/>
          <w:lang w:val="sk-SK"/>
        </w:rPr>
        <w:t>“,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   alebo číselne </w:t>
      </w:r>
      <w:r w:rsidR="009159B9">
        <w:rPr>
          <w:b/>
          <w:lang w:val="sk-SK"/>
        </w:rPr>
        <w:t>„4</w:t>
      </w:r>
      <w:r>
        <w:rPr>
          <w:b/>
          <w:bCs/>
          <w:lang w:val="sk-SK"/>
        </w:rPr>
        <w:t>202324“.</w:t>
      </w:r>
      <w:r>
        <w:rPr>
          <w:lang w:val="sk-SK"/>
        </w:rPr>
        <w:t xml:space="preserve">  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ind w:left="120"/>
        <w:rPr>
          <w:lang w:val="sk-SK"/>
        </w:rPr>
      </w:pPr>
      <w:r>
        <w:rPr>
          <w:lang w:val="sk-SK"/>
        </w:rPr>
        <w:t xml:space="preserve">3)V prípade neuhradenia platby v stanovenej lehote, nájomca zaplatí prenajímateľovi úrok  </w:t>
      </w:r>
    </w:p>
    <w:p w:rsidR="00AD6B70" w:rsidRDefault="00AD6B70" w:rsidP="00AD6B70">
      <w:pPr>
        <w:ind w:left="120"/>
        <w:rPr>
          <w:lang w:val="sk-SK"/>
        </w:rPr>
      </w:pPr>
      <w:r>
        <w:rPr>
          <w:lang w:val="sk-SK"/>
        </w:rPr>
        <w:t xml:space="preserve">    z omeškania vo výške 0,5 promile za každý deň omeškania.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4) Prenajímateľ môže meniť výšku poplatku za služby a energie vtedy, ak dôjde ku zmene   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právnych predpisov, alebo dôjde ku zvýšeniu cien dodávateľa.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jc w:val="center"/>
        <w:rPr>
          <w:lang w:val="sk-SK"/>
        </w:rPr>
      </w:pPr>
      <w:r>
        <w:rPr>
          <w:lang w:val="sk-SK"/>
        </w:rPr>
        <w:t>Čl. IV</w:t>
      </w:r>
    </w:p>
    <w:p w:rsidR="00AD6B70" w:rsidRDefault="00AD6B70" w:rsidP="00AD6B70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Práva a povinnosti zmluvných strán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>Nájomca sa zaväzuje predmet nájmu užívať len na účel, ktorý je uvedený v čl. I tejto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zmluvy, udržiavať ho v náležitom poriadku a prevádzky schopnom stave, starať sa o jeho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účelné a hospodárne využitie a po ukončení užívania tento odovzdať prenajímateľovi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v stave, v akom ho prevzal s prihliadnutím na obvyklé opotrebenie.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Nájomca je povinný dodržiavať bezpečnostné a požiarne  predpisy. Je povinný chrániť </w:t>
      </w:r>
    </w:p>
    <w:p w:rsidR="00AD6B70" w:rsidRDefault="00AD6B70" w:rsidP="00AD6B70">
      <w:pPr>
        <w:ind w:left="502"/>
        <w:rPr>
          <w:lang w:val="sk-SK"/>
        </w:rPr>
      </w:pPr>
      <w:r>
        <w:rPr>
          <w:lang w:val="sk-SK"/>
        </w:rPr>
        <w:t>majetok pred poškodením a neoprávnenými zásahmi tretích osôb, pričom zodpovedá za škodu, ktorá vznikne porušením povinností nájomcu vyplývajúcich zo zmluvy. Súčasne sa zaväzuje, že svojou činnosťou nebude znečisťovať nebytové priestory a životné prostredie okolia.</w:t>
      </w:r>
    </w:p>
    <w:p w:rsidR="00AD6B70" w:rsidRDefault="00AD6B70" w:rsidP="00AD6B70">
      <w:pPr>
        <w:ind w:left="502"/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3)  Nájomca nesie plnú zodpovednosť za zabezpečenie a dodržiavanie všetkých nariadení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súvisiacich s mimoriadnou situáciou ohľadom ochorenia COVID-19 spôsobeným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</w:t>
      </w:r>
      <w:proofErr w:type="spellStart"/>
      <w:r>
        <w:rPr>
          <w:lang w:val="sk-SK"/>
        </w:rPr>
        <w:t>koronavírusom</w:t>
      </w:r>
      <w:proofErr w:type="spellEnd"/>
      <w:r>
        <w:rPr>
          <w:lang w:val="sk-SK"/>
        </w:rPr>
        <w:t xml:space="preserve"> SARS-CoV-2 vydanými Úradom verejného zdravotníctva Slovenskej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republiky a príslušnými ministerstvami Slovenskej republiky počas celej doby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 využívania predmetu nájmu.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ind w:left="142"/>
        <w:rPr>
          <w:lang w:val="sk-SK"/>
        </w:rPr>
      </w:pPr>
      <w:r>
        <w:rPr>
          <w:lang w:val="sk-SK"/>
        </w:rPr>
        <w:t xml:space="preserve">4)   Nájomca nesmie prenajať predmet nájmu tretím osobám, ani umožniť inej osobe vedľa </w:t>
      </w:r>
    </w:p>
    <w:p w:rsidR="00AD6B70" w:rsidRDefault="00AD6B70" w:rsidP="00AD6B70">
      <w:pPr>
        <w:ind w:left="502"/>
        <w:rPr>
          <w:lang w:val="sk-SK"/>
        </w:rPr>
      </w:pPr>
      <w:r>
        <w:rPr>
          <w:lang w:val="sk-SK"/>
        </w:rPr>
        <w:t>seba v týchto priestoroch podnikať.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ind w:left="142"/>
        <w:rPr>
          <w:lang w:val="sk-SK"/>
        </w:rPr>
      </w:pPr>
      <w:r>
        <w:rPr>
          <w:lang w:val="sk-SK"/>
        </w:rPr>
        <w:t>5)   Nájomca sa zaväzuje nahradiť škody na majetku spôsobené v súvislosti s využívaním</w:t>
      </w:r>
    </w:p>
    <w:p w:rsidR="00AD6B70" w:rsidRDefault="00AD6B70" w:rsidP="00AD6B70">
      <w:pPr>
        <w:ind w:left="502"/>
        <w:rPr>
          <w:lang w:val="sk-SK"/>
        </w:rPr>
      </w:pPr>
      <w:r>
        <w:rPr>
          <w:lang w:val="sk-SK"/>
        </w:rPr>
        <w:lastRenderedPageBreak/>
        <w:t>prenajatých priestorov.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ind w:left="142"/>
        <w:rPr>
          <w:lang w:val="sk-SK"/>
        </w:rPr>
      </w:pPr>
      <w:r>
        <w:rPr>
          <w:lang w:val="sk-SK"/>
        </w:rPr>
        <w:t>6)   Prenajímateľ sa zaväzuje zabezpečiť nájomcovi nerušený výkony jeho práv spojených</w:t>
      </w:r>
    </w:p>
    <w:p w:rsidR="00AD6B70" w:rsidRDefault="00AD6B70" w:rsidP="00AD6B70">
      <w:pPr>
        <w:ind w:left="142"/>
        <w:rPr>
          <w:lang w:val="sk-SK"/>
        </w:rPr>
      </w:pPr>
      <w:r>
        <w:rPr>
          <w:lang w:val="sk-SK"/>
        </w:rPr>
        <w:t xml:space="preserve">      s nájmom nebytového priestoru.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7)  Nájomca je povinný oboznámiť svojich členov, že v prípade akéhokoľvek úrazu v čase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ich činnosti  ZŠ nenesie zodpovednosť.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8)  Nájomca sa zaväzuje všetky potrebné veci na svoju činnosť si zabezpečiť samostatne.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9)  Nájomca sa zaväzuje oznámiť nevyužitie prenajatého priestoru najneskôr jeden pracovný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deň vopred. V opačnom prípade sa to bude považovať za využitý prenajatý priestor.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jc w:val="center"/>
        <w:rPr>
          <w:lang w:val="sk-SK"/>
        </w:rPr>
      </w:pPr>
      <w:r>
        <w:rPr>
          <w:lang w:val="sk-SK"/>
        </w:rPr>
        <w:t>Čl. V</w:t>
      </w:r>
    </w:p>
    <w:p w:rsidR="00AD6B70" w:rsidRDefault="00AD6B70" w:rsidP="00AD6B70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Ukončenie nájmu a výpovedné podmienky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>Zmluva sa môže meniť, alebo doplňovať výlučne formou písomných dodatkov                                        potvrdených obidvoma zmluvnými stranami.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K zrušeniu zmluvy pred uplynutím doby nájmu môže dôjsť dohodou zmluvných strán,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alebo písomnou výpoveďou ktorejkoľvek zo zmluvných strán. Výpovedná lehota je jeden 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 mesiac a začína sa prvým dňom kalendárneho mesiaca nasledujúceho po doručení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 výpovede a končí uplynutím posledného dňa  príslušného kalendárneho mesiaca. 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3)  Nájom sa končí uplynutím doby, na ktorú bol dohodnutý.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Prenajímateľ si vyhradzuje právo okamžitého ukončenia nájmu v prípade preukázateľného porušenia dohodnutých podmienok. 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jc w:val="center"/>
        <w:rPr>
          <w:lang w:val="sk-SK"/>
        </w:rPr>
      </w:pPr>
      <w:r>
        <w:rPr>
          <w:lang w:val="sk-SK"/>
        </w:rPr>
        <w:t>Čl. VI</w:t>
      </w:r>
    </w:p>
    <w:p w:rsidR="00AD6B70" w:rsidRDefault="00AD6B70" w:rsidP="00AD6B70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Práva a povinnosti zmluvných strán touto zmluvou výslovne neupravené,  spravujú sa</w:t>
      </w:r>
    </w:p>
    <w:p w:rsidR="00AD6B70" w:rsidRDefault="00AD6B70" w:rsidP="00AD6B70">
      <w:pPr>
        <w:ind w:left="360"/>
        <w:rPr>
          <w:lang w:val="sk-SK"/>
        </w:rPr>
      </w:pPr>
      <w:r>
        <w:rPr>
          <w:lang w:val="sk-SK"/>
        </w:rPr>
        <w:t>ustanoveniami Občianskeho zákonníka a Zákona č. 116/1990 Zb. o nájme a podnájme</w:t>
      </w:r>
    </w:p>
    <w:p w:rsidR="00AD6B70" w:rsidRDefault="00AD6B70" w:rsidP="00AD6B70">
      <w:pPr>
        <w:ind w:left="360"/>
        <w:rPr>
          <w:lang w:val="sk-SK"/>
        </w:rPr>
      </w:pPr>
      <w:r>
        <w:rPr>
          <w:lang w:val="sk-SK"/>
        </w:rPr>
        <w:t>nebytových priestorov a súvisiacich právnych predpisov Slovenskej republiky.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2)  Zmluva bola vyhotovená v troch totožných exemplároch, po jednom pre    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     prenajímateľa, správcu a nájomcu. 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3)   Zmluvné strany  uzatvorili túto zmluvu slobodne, vážne a bez nátlaku.               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Zmluvné strany prehlasujú, že túto zmluvu pred jej podpísaním si  prečítali a súhlasia s jej</w:t>
      </w:r>
    </w:p>
    <w:p w:rsidR="00AD6B70" w:rsidRDefault="00AD6B70" w:rsidP="00AD6B70">
      <w:pPr>
        <w:ind w:left="60"/>
        <w:rPr>
          <w:lang w:val="sk-SK"/>
        </w:rPr>
      </w:pPr>
      <w:r>
        <w:rPr>
          <w:lang w:val="sk-SK"/>
        </w:rPr>
        <w:t xml:space="preserve">   obsahom.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r>
        <w:rPr>
          <w:lang w:val="sk-SK"/>
        </w:rPr>
        <w:t xml:space="preserve">5)  Táto zmluva nadobúda platnosť dňom nasledujúcim po dni zverejnenia podľa </w:t>
      </w:r>
      <w:r>
        <w:t xml:space="preserve">§ </w:t>
      </w:r>
      <w:smartTag w:uri="urn:schemas-microsoft-com:office:smarttags" w:element="metricconverter">
        <w:smartTagPr>
          <w:attr w:name="ProductID" w:val="47 a"/>
        </w:smartTagPr>
        <w:r>
          <w:t>47 a</w:t>
        </w:r>
      </w:smartTag>
      <w:r>
        <w:t xml:space="preserve">   </w:t>
      </w:r>
    </w:p>
    <w:p w:rsidR="00AD6B70" w:rsidRDefault="00AD6B70" w:rsidP="00AD6B70">
      <w:r>
        <w:t xml:space="preserve">     Občanského </w:t>
      </w:r>
      <w:proofErr w:type="spellStart"/>
      <w:r>
        <w:t>zákonníka</w:t>
      </w:r>
      <w:proofErr w:type="spellEnd"/>
      <w:r>
        <w:t>.</w:t>
      </w:r>
    </w:p>
    <w:p w:rsidR="00AD6B70" w:rsidRDefault="00AD6B70" w:rsidP="00AD6B70">
      <w:pPr>
        <w:rPr>
          <w:lang w:val="sk-SK"/>
        </w:rPr>
      </w:pPr>
    </w:p>
    <w:p w:rsidR="009159B9" w:rsidRDefault="009159B9" w:rsidP="00AD6B70">
      <w:pPr>
        <w:rPr>
          <w:lang w:val="sk-SK"/>
        </w:rPr>
      </w:pPr>
    </w:p>
    <w:p w:rsidR="009159B9" w:rsidRDefault="009159B9" w:rsidP="00AD6B70">
      <w:pPr>
        <w:rPr>
          <w:lang w:val="sk-SK"/>
        </w:rPr>
      </w:pPr>
    </w:p>
    <w:p w:rsidR="009159B9" w:rsidRDefault="009159B9" w:rsidP="00AD6B70">
      <w:pPr>
        <w:rPr>
          <w:lang w:val="sk-SK"/>
        </w:rPr>
      </w:pPr>
    </w:p>
    <w:p w:rsidR="009159B9" w:rsidRDefault="009159B9" w:rsidP="00AD6B70">
      <w:pPr>
        <w:rPr>
          <w:lang w:val="sk-SK"/>
        </w:rPr>
      </w:pPr>
    </w:p>
    <w:p w:rsidR="00AD6B70" w:rsidRDefault="009159B9" w:rsidP="00AD6B70">
      <w:pPr>
        <w:rPr>
          <w:lang w:val="sk-SK"/>
        </w:rPr>
      </w:pPr>
      <w:r>
        <w:rPr>
          <w:lang w:val="sk-SK"/>
        </w:rPr>
        <w:t xml:space="preserve">Žilina 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>
      <w:pPr>
        <w:rPr>
          <w:lang w:val="sk-SK"/>
        </w:rPr>
      </w:pPr>
      <w:r>
        <w:rPr>
          <w:lang w:val="sk-SK"/>
        </w:rPr>
        <w:t>Za prenajímateľa:                                                             Za nájomcu:</w:t>
      </w:r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PaedDr. Janka </w:t>
      </w:r>
      <w:proofErr w:type="spellStart"/>
      <w:r>
        <w:rPr>
          <w:lang w:val="sk-SK"/>
        </w:rPr>
        <w:t>Kamenská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Halečková</w:t>
      </w:r>
      <w:proofErr w:type="spellEnd"/>
      <w:r>
        <w:rPr>
          <w:lang w:val="sk-SK"/>
        </w:rPr>
        <w:t xml:space="preserve">                              </w:t>
      </w:r>
      <w:r w:rsidR="009159B9">
        <w:rPr>
          <w:lang w:val="sk-SK"/>
        </w:rPr>
        <w:t xml:space="preserve">Sandra </w:t>
      </w:r>
      <w:proofErr w:type="spellStart"/>
      <w:r w:rsidR="009159B9">
        <w:rPr>
          <w:lang w:val="sk-SK"/>
        </w:rPr>
        <w:t>Vaceková</w:t>
      </w:r>
      <w:proofErr w:type="spellEnd"/>
    </w:p>
    <w:p w:rsidR="00AD6B70" w:rsidRDefault="00AD6B70" w:rsidP="00AD6B70">
      <w:pPr>
        <w:rPr>
          <w:lang w:val="sk-SK"/>
        </w:rPr>
      </w:pPr>
      <w:r>
        <w:rPr>
          <w:lang w:val="sk-SK"/>
        </w:rPr>
        <w:t xml:space="preserve">riaditeľka školy                                                 </w:t>
      </w:r>
      <w:r w:rsidR="009159B9">
        <w:rPr>
          <w:lang w:val="sk-SK"/>
        </w:rPr>
        <w:t xml:space="preserve">               konateľka spoločnosti</w:t>
      </w:r>
    </w:p>
    <w:p w:rsidR="00AD6B70" w:rsidRDefault="00AD6B70" w:rsidP="00AD6B70">
      <w:pPr>
        <w:rPr>
          <w:lang w:val="sk-SK"/>
        </w:rPr>
      </w:pPr>
    </w:p>
    <w:p w:rsidR="00AD6B70" w:rsidRDefault="00AD6B70" w:rsidP="00AD6B70"/>
    <w:p w:rsidR="00EE0713" w:rsidRPr="00AD6B70" w:rsidRDefault="00C94079" w:rsidP="00AD6B70"/>
    <w:sectPr w:rsidR="00EE0713" w:rsidRPr="00AD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641A"/>
    <w:multiLevelType w:val="hybridMultilevel"/>
    <w:tmpl w:val="0BA63926"/>
    <w:lvl w:ilvl="0" w:tplc="D812D2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 w15:restartNumberingAfterBreak="0">
    <w:nsid w:val="287F5759"/>
    <w:multiLevelType w:val="hybridMultilevel"/>
    <w:tmpl w:val="0A801AF2"/>
    <w:lvl w:ilvl="0" w:tplc="1A1279B2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2CCB1AB1"/>
    <w:multiLevelType w:val="hybridMultilevel"/>
    <w:tmpl w:val="0552906E"/>
    <w:lvl w:ilvl="0" w:tplc="041B0011">
      <w:start w:val="1"/>
      <w:numFmt w:val="decimal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EB546A"/>
    <w:multiLevelType w:val="hybridMultilevel"/>
    <w:tmpl w:val="B1C8B706"/>
    <w:lvl w:ilvl="0" w:tplc="15B2C73A">
      <w:start w:val="1"/>
      <w:numFmt w:val="decimal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603A8F"/>
    <w:multiLevelType w:val="hybridMultilevel"/>
    <w:tmpl w:val="9FD07CC8"/>
    <w:lvl w:ilvl="0" w:tplc="D80CD1EA">
      <w:start w:val="4"/>
      <w:numFmt w:val="decimal"/>
      <w:lvlText w:val="%1)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3AA7407"/>
    <w:multiLevelType w:val="hybridMultilevel"/>
    <w:tmpl w:val="9ED01D00"/>
    <w:lvl w:ilvl="0" w:tplc="B914BE00">
      <w:start w:val="4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70E4C"/>
    <w:multiLevelType w:val="hybridMultilevel"/>
    <w:tmpl w:val="9D0659C6"/>
    <w:lvl w:ilvl="0" w:tplc="041B0011">
      <w:start w:val="1"/>
      <w:numFmt w:val="decimal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512B44"/>
    <w:multiLevelType w:val="hybridMultilevel"/>
    <w:tmpl w:val="13E2212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70"/>
    <w:rsid w:val="001F0900"/>
    <w:rsid w:val="00370734"/>
    <w:rsid w:val="004C5390"/>
    <w:rsid w:val="009159B9"/>
    <w:rsid w:val="00AD6B70"/>
    <w:rsid w:val="00C56A68"/>
    <w:rsid w:val="00C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4BD4-6D49-4440-8601-DFECB822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AD6B70"/>
    <w:pPr>
      <w:keepNext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AD6B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D6B70"/>
    <w:pPr>
      <w:ind w:firstLine="60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D6B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drevena</dc:creator>
  <cp:keywords/>
  <dc:description/>
  <cp:lastModifiedBy>katarina drevena</cp:lastModifiedBy>
  <cp:revision>2</cp:revision>
  <dcterms:created xsi:type="dcterms:W3CDTF">2023-09-29T08:16:00Z</dcterms:created>
  <dcterms:modified xsi:type="dcterms:W3CDTF">2023-10-02T05:51:00Z</dcterms:modified>
</cp:coreProperties>
</file>